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9748F5" w14:textId="77182CFE" w:rsidR="009A0FF6" w:rsidRPr="009D1D35" w:rsidRDefault="000C7B90" w:rsidP="002F6CE5">
      <w:pPr>
        <w:ind w:left="2292" w:hanging="2292"/>
        <w:rPr>
          <w:lang w:val="en-US"/>
        </w:rPr>
      </w:pPr>
      <w:bookmarkStart w:id="0" w:name="_Toc209500354"/>
      <w:bookmarkStart w:id="1" w:name="_Toc219275270"/>
      <w:bookmarkStart w:id="2" w:name="_Toc219275340"/>
      <w:bookmarkStart w:id="3" w:name="_Toc219518985"/>
      <w:r w:rsidRPr="009D1D35">
        <w:rPr>
          <w:lang w:val="en-US"/>
        </w:rPr>
        <w:t xml:space="preserve">  </w:t>
      </w:r>
    </w:p>
    <w:p w14:paraId="4D9748F6" w14:textId="77777777" w:rsidR="008720EB" w:rsidRPr="00A14CA2" w:rsidRDefault="00481516" w:rsidP="002F6CE5">
      <w:pPr>
        <w:ind w:left="2292" w:hanging="2292"/>
        <w:rPr>
          <w:lang w:val="en-US"/>
        </w:rPr>
      </w:pPr>
      <w:r w:rsidRPr="00A14CA2">
        <w:rPr>
          <w:lang w:val="en-US"/>
        </w:rPr>
        <w:t xml:space="preserve">SCORECARD </w:t>
      </w:r>
      <w:r w:rsidRPr="00A14CA2">
        <w:rPr>
          <w:lang w:val="en-US"/>
        </w:rPr>
        <w:tab/>
        <w:t>Office of the High Commissioner for Human Rights (OHCHR)</w:t>
      </w:r>
    </w:p>
    <w:p w14:paraId="4D9748F7" w14:textId="77777777" w:rsidR="008720EB" w:rsidRPr="00A14CA2" w:rsidRDefault="008720EB" w:rsidP="002F6CE5">
      <w:pPr>
        <w:ind w:left="2292" w:hanging="2292"/>
        <w:rPr>
          <w:lang w:val="en-US"/>
        </w:rPr>
      </w:pPr>
    </w:p>
    <w:p w14:paraId="4D9748F8" w14:textId="77777777" w:rsidR="009B57FB" w:rsidRDefault="00794FE6" w:rsidP="002F6CE5">
      <w:pPr>
        <w:ind w:left="2292" w:hanging="2292"/>
      </w:pPr>
      <w:fldSimple w:instr=" DOCPROPERTY  L_CONTACT  \* MERGEFORMAT ">
        <w:r w:rsidR="00CF62BD">
          <w:t>Opgesteld door</w:t>
        </w:r>
      </w:fldSimple>
      <w:r w:rsidR="002F6CE5" w:rsidRPr="00785F18">
        <w:tab/>
      </w:r>
      <w:r w:rsidR="003A65E8">
        <w:t xml:space="preserve">Directie </w:t>
      </w:r>
      <w:r w:rsidR="00460E7F">
        <w:t>Multilaterale Instellingen en Mensenrechten</w:t>
      </w:r>
    </w:p>
    <w:p w14:paraId="4D9748FA" w14:textId="77777777" w:rsidR="002F6CE5" w:rsidRPr="00785F18" w:rsidRDefault="002F6CE5" w:rsidP="002F6CE5">
      <w:pPr>
        <w:ind w:left="2292" w:hanging="2292"/>
      </w:pPr>
    </w:p>
    <w:tbl>
      <w:tblPr>
        <w:tblW w:w="0" w:type="auto"/>
        <w:tblLook w:val="01E0" w:firstRow="1" w:lastRow="1" w:firstColumn="1" w:lastColumn="1" w:noHBand="0" w:noVBand="0"/>
      </w:tblPr>
      <w:tblGrid>
        <w:gridCol w:w="2246"/>
        <w:gridCol w:w="5480"/>
      </w:tblGrid>
      <w:tr w:rsidR="002F6CE5" w:rsidRPr="00785F18" w14:paraId="4D9748FE" w14:textId="77777777" w:rsidTr="008F1B70">
        <w:tc>
          <w:tcPr>
            <w:tcW w:w="2268" w:type="dxa"/>
            <w:shd w:val="clear" w:color="auto" w:fill="auto"/>
          </w:tcPr>
          <w:p w14:paraId="4D9748FB" w14:textId="0BB47A67" w:rsidR="002F6CE5" w:rsidRPr="00785F18" w:rsidRDefault="00794FE6" w:rsidP="00906D06">
            <w:fldSimple w:instr=" DOCPROPERTY  L_AUTHOR  \* MERGEFORMAT ">
              <w:r w:rsidR="00906D06">
                <w:t>Redacteur</w:t>
              </w:r>
              <w:r w:rsidR="00CF62BD">
                <w:t>en:</w:t>
              </w:r>
            </w:fldSimple>
          </w:p>
        </w:tc>
        <w:tc>
          <w:tcPr>
            <w:tcW w:w="5598" w:type="dxa"/>
            <w:shd w:val="clear" w:color="auto" w:fill="auto"/>
          </w:tcPr>
          <w:p w14:paraId="4D9748FC" w14:textId="59C33397" w:rsidR="002F6CE5" w:rsidRDefault="00794FE6" w:rsidP="00221806">
            <w:r>
              <w:t>Mary-Honor Kloeg, Kirsten Hommes</w:t>
            </w:r>
            <w:r w:rsidR="000C7B90">
              <w:t xml:space="preserve"> en Jasper van Mastrig</w:t>
            </w:r>
            <w:r>
              <w:t xml:space="preserve">t </w:t>
            </w:r>
          </w:p>
          <w:p w14:paraId="4D9748FD" w14:textId="5F672A4D" w:rsidR="002F6CE5" w:rsidRPr="00785F18" w:rsidRDefault="00906D06" w:rsidP="00794FE6">
            <w:r>
              <w:t>A</w:t>
            </w:r>
            <w:r w:rsidR="00A1262F">
              <w:t>fgestemd met PV G</w:t>
            </w:r>
            <w:r w:rsidR="00794FE6">
              <w:t>EV</w:t>
            </w:r>
          </w:p>
        </w:tc>
      </w:tr>
    </w:tbl>
    <w:p w14:paraId="4D9748FF" w14:textId="77777777" w:rsidR="00991C2E" w:rsidRDefault="00991C2E" w:rsidP="00991C2E"/>
    <w:p w14:paraId="4D974900" w14:textId="77777777" w:rsidR="00991C2E" w:rsidRDefault="00991C2E" w:rsidP="00991C2E"/>
    <w:p w14:paraId="4D974901" w14:textId="77777777" w:rsidR="00991C2E" w:rsidRDefault="00991C2E" w:rsidP="00991C2E"/>
    <w:p w14:paraId="4D974917" w14:textId="77777777" w:rsidR="00326699" w:rsidRDefault="00326699" w:rsidP="00326699">
      <w:pPr>
        <w:spacing w:line="240" w:lineRule="auto"/>
      </w:pPr>
    </w:p>
    <w:p w14:paraId="4D974918" w14:textId="77777777" w:rsidR="00326699" w:rsidRDefault="00326699" w:rsidP="00326699">
      <w:pPr>
        <w:spacing w:line="240" w:lineRule="auto"/>
      </w:pPr>
    </w:p>
    <w:p w14:paraId="4D974919" w14:textId="77777777" w:rsidR="00326699" w:rsidRDefault="00326699" w:rsidP="00326699">
      <w:pPr>
        <w:spacing w:line="240" w:lineRule="auto"/>
        <w:sectPr w:rsidR="00326699" w:rsidSect="007D6565">
          <w:headerReference w:type="even" r:id="rId11"/>
          <w:headerReference w:type="default" r:id="rId12"/>
          <w:footerReference w:type="even" r:id="rId13"/>
          <w:footerReference w:type="default" r:id="rId14"/>
          <w:headerReference w:type="first" r:id="rId15"/>
          <w:footerReference w:type="first" r:id="rId16"/>
          <w:pgSz w:w="11906" w:h="16838" w:code="9"/>
          <w:pgMar w:top="2520" w:right="960" w:bottom="1080" w:left="3220" w:header="200" w:footer="660" w:gutter="0"/>
          <w:cols w:space="708"/>
          <w:titlePg/>
          <w:docGrid w:linePitch="360"/>
        </w:sectPr>
      </w:pPr>
    </w:p>
    <w:bookmarkEnd w:id="0"/>
    <w:bookmarkEnd w:id="1"/>
    <w:bookmarkEnd w:id="2"/>
    <w:bookmarkEnd w:id="3"/>
    <w:p w14:paraId="4D97491A" w14:textId="77777777" w:rsidR="00A908F9" w:rsidRDefault="00A908F9" w:rsidP="00A908F9">
      <w:pPr>
        <w:pStyle w:val="Kop-Inhoudsopgave"/>
      </w:pPr>
    </w:p>
    <w:p w14:paraId="4D97491B" w14:textId="77777777" w:rsidR="00A908F9" w:rsidRDefault="00A908F9" w:rsidP="00A908F9">
      <w:pPr>
        <w:pStyle w:val="Kop-Inhoudsopgave"/>
      </w:pPr>
    </w:p>
    <w:p w14:paraId="4D97491C" w14:textId="77777777" w:rsidR="00A908F9" w:rsidRDefault="008720EB" w:rsidP="00A908F9">
      <w:pPr>
        <w:pStyle w:val="Kop-Inhoudsopgave"/>
      </w:pPr>
      <w:r>
        <w:br w:type="page"/>
      </w:r>
      <w:fldSimple w:instr=" DOCPROPERTY  L_TOC  \* MERGEFORMAT ">
        <w:bookmarkStart w:id="7" w:name="_Toc287446465"/>
        <w:bookmarkStart w:id="8" w:name="_Toc287454445"/>
        <w:bookmarkStart w:id="9" w:name="_Toc491259058"/>
        <w:r w:rsidR="00CF62BD">
          <w:t>Inhoudsopgave</w:t>
        </w:r>
        <w:bookmarkEnd w:id="7"/>
        <w:bookmarkEnd w:id="8"/>
        <w:bookmarkEnd w:id="9"/>
      </w:fldSimple>
    </w:p>
    <w:p w14:paraId="2394C982" w14:textId="05447BBE" w:rsidR="005B75B4" w:rsidRDefault="00AA0E58">
      <w:pPr>
        <w:pStyle w:val="TOC1"/>
        <w:tabs>
          <w:tab w:val="right" w:leader="dot" w:pos="7716"/>
        </w:tabs>
        <w:rPr>
          <w:rFonts w:asciiTheme="minorHAnsi" w:eastAsiaTheme="minorEastAsia" w:hAnsiTheme="minorHAnsi" w:cstheme="minorBidi"/>
          <w:noProof/>
          <w:sz w:val="22"/>
          <w:szCs w:val="22"/>
        </w:rPr>
      </w:pPr>
      <w:r w:rsidRPr="00785F18">
        <w:fldChar w:fldCharType="begin"/>
      </w:r>
      <w:r w:rsidR="006B2292" w:rsidRPr="00785F18">
        <w:instrText xml:space="preserve"> TOC \t "Heading 1;2;Heading 2;3;Heading 3;4;Kop-Inhoudsopgave;1;Kop zonder nummering;1;Subtitle;2;Title;1" </w:instrText>
      </w:r>
      <w:r w:rsidRPr="00785F18">
        <w:fldChar w:fldCharType="separate"/>
      </w:r>
      <w:r w:rsidR="005B75B4">
        <w:rPr>
          <w:noProof/>
        </w:rPr>
        <w:t>Inhoudsopgave</w:t>
      </w:r>
      <w:r w:rsidR="005B75B4">
        <w:rPr>
          <w:noProof/>
        </w:rPr>
        <w:tab/>
      </w:r>
      <w:r w:rsidR="005B75B4">
        <w:rPr>
          <w:noProof/>
        </w:rPr>
        <w:fldChar w:fldCharType="begin"/>
      </w:r>
      <w:r w:rsidR="005B75B4">
        <w:rPr>
          <w:noProof/>
        </w:rPr>
        <w:instrText xml:space="preserve"> PAGEREF _Toc491259058 \h </w:instrText>
      </w:r>
      <w:r w:rsidR="005B75B4">
        <w:rPr>
          <w:noProof/>
        </w:rPr>
      </w:r>
      <w:r w:rsidR="005B75B4">
        <w:rPr>
          <w:noProof/>
        </w:rPr>
        <w:fldChar w:fldCharType="separate"/>
      </w:r>
      <w:r w:rsidR="005B75B4">
        <w:rPr>
          <w:noProof/>
        </w:rPr>
        <w:t>2</w:t>
      </w:r>
      <w:r w:rsidR="005B75B4">
        <w:rPr>
          <w:noProof/>
        </w:rPr>
        <w:fldChar w:fldCharType="end"/>
      </w:r>
    </w:p>
    <w:p w14:paraId="1E034709" w14:textId="63A8CBFA" w:rsidR="005B75B4" w:rsidRDefault="005B75B4">
      <w:pPr>
        <w:pStyle w:val="TOC2"/>
        <w:rPr>
          <w:rFonts w:asciiTheme="minorHAnsi" w:eastAsiaTheme="minorEastAsia" w:hAnsiTheme="minorHAnsi" w:cstheme="minorBidi"/>
          <w:b w:val="0"/>
          <w:sz w:val="22"/>
          <w:szCs w:val="22"/>
        </w:rPr>
      </w:pPr>
      <w:r>
        <w:t>1</w:t>
      </w:r>
      <w:r>
        <w:rPr>
          <w:rFonts w:asciiTheme="minorHAnsi" w:eastAsiaTheme="minorEastAsia" w:hAnsiTheme="minorHAnsi" w:cstheme="minorBidi"/>
          <w:b w:val="0"/>
          <w:sz w:val="22"/>
          <w:szCs w:val="22"/>
        </w:rPr>
        <w:tab/>
      </w:r>
      <w:r>
        <w:t>Samenvatting</w:t>
      </w:r>
      <w:r>
        <w:tab/>
      </w:r>
      <w:r>
        <w:fldChar w:fldCharType="begin"/>
      </w:r>
      <w:r>
        <w:instrText xml:space="preserve"> PAGEREF _Toc491259059 \h </w:instrText>
      </w:r>
      <w:r>
        <w:fldChar w:fldCharType="separate"/>
      </w:r>
      <w:r>
        <w:t>3</w:t>
      </w:r>
      <w:r>
        <w:fldChar w:fldCharType="end"/>
      </w:r>
    </w:p>
    <w:p w14:paraId="7EC8F0B1" w14:textId="04781692" w:rsidR="005B75B4" w:rsidRDefault="005B75B4">
      <w:pPr>
        <w:pStyle w:val="TOC3"/>
        <w:rPr>
          <w:rFonts w:asciiTheme="minorHAnsi" w:eastAsiaTheme="minorEastAsia" w:hAnsiTheme="minorHAnsi" w:cstheme="minorBidi"/>
          <w:sz w:val="22"/>
          <w:szCs w:val="22"/>
        </w:rPr>
      </w:pPr>
      <w:r>
        <w:t xml:space="preserve">1.1 </w:t>
      </w:r>
      <w:r>
        <w:rPr>
          <w:rFonts w:asciiTheme="minorHAnsi" w:eastAsiaTheme="minorEastAsia" w:hAnsiTheme="minorHAnsi" w:cstheme="minorBidi"/>
          <w:sz w:val="22"/>
          <w:szCs w:val="22"/>
        </w:rPr>
        <w:tab/>
      </w:r>
      <w:r>
        <w:t>Institutionele aspecten en functioneren</w:t>
      </w:r>
      <w:r>
        <w:tab/>
      </w:r>
      <w:r>
        <w:fldChar w:fldCharType="begin"/>
      </w:r>
      <w:r>
        <w:instrText xml:space="preserve"> PAGEREF _Toc491259060 \h </w:instrText>
      </w:r>
      <w:r>
        <w:fldChar w:fldCharType="separate"/>
      </w:r>
      <w:r>
        <w:t>3</w:t>
      </w:r>
      <w:r>
        <w:fldChar w:fldCharType="end"/>
      </w:r>
    </w:p>
    <w:p w14:paraId="7DC6C0FD" w14:textId="2B074A7A" w:rsidR="005B75B4" w:rsidRDefault="005B75B4">
      <w:pPr>
        <w:pStyle w:val="TOC3"/>
        <w:rPr>
          <w:rFonts w:asciiTheme="minorHAnsi" w:eastAsiaTheme="minorEastAsia" w:hAnsiTheme="minorHAnsi" w:cstheme="minorBidi"/>
          <w:sz w:val="22"/>
          <w:szCs w:val="22"/>
        </w:rPr>
      </w:pPr>
      <w:r>
        <w:t xml:space="preserve">1.2 </w:t>
      </w:r>
      <w:r>
        <w:rPr>
          <w:rFonts w:asciiTheme="minorHAnsi" w:eastAsiaTheme="minorEastAsia" w:hAnsiTheme="minorHAnsi" w:cstheme="minorBidi"/>
          <w:sz w:val="22"/>
          <w:szCs w:val="22"/>
        </w:rPr>
        <w:tab/>
      </w:r>
      <w:r>
        <w:t>Beleidsrelevantie</w:t>
      </w:r>
      <w:r>
        <w:tab/>
      </w:r>
      <w:r>
        <w:fldChar w:fldCharType="begin"/>
      </w:r>
      <w:r>
        <w:instrText xml:space="preserve"> PAGEREF _Toc491259061 \h </w:instrText>
      </w:r>
      <w:r>
        <w:fldChar w:fldCharType="separate"/>
      </w:r>
      <w:r>
        <w:t>3</w:t>
      </w:r>
      <w:r>
        <w:fldChar w:fldCharType="end"/>
      </w:r>
    </w:p>
    <w:p w14:paraId="4CE6B281" w14:textId="70ABA8C5" w:rsidR="005B75B4" w:rsidRDefault="005B75B4">
      <w:pPr>
        <w:pStyle w:val="TOC2"/>
        <w:rPr>
          <w:rFonts w:asciiTheme="minorHAnsi" w:eastAsiaTheme="minorEastAsia" w:hAnsiTheme="minorHAnsi" w:cstheme="minorBidi"/>
          <w:b w:val="0"/>
          <w:sz w:val="22"/>
          <w:szCs w:val="22"/>
        </w:rPr>
      </w:pPr>
      <w:r>
        <w:t xml:space="preserve">2 </w:t>
      </w:r>
      <w:r>
        <w:rPr>
          <w:rFonts w:asciiTheme="minorHAnsi" w:eastAsiaTheme="minorEastAsia" w:hAnsiTheme="minorHAnsi" w:cstheme="minorBidi"/>
          <w:b w:val="0"/>
          <w:sz w:val="22"/>
          <w:szCs w:val="22"/>
        </w:rPr>
        <w:tab/>
      </w:r>
      <w:r>
        <w:t>Inleiding</w:t>
      </w:r>
      <w:r>
        <w:tab/>
      </w:r>
      <w:r>
        <w:fldChar w:fldCharType="begin"/>
      </w:r>
      <w:r>
        <w:instrText xml:space="preserve"> PAGEREF _Toc491259062 \h </w:instrText>
      </w:r>
      <w:r>
        <w:fldChar w:fldCharType="separate"/>
      </w:r>
      <w:r>
        <w:t>4</w:t>
      </w:r>
      <w:r>
        <w:fldChar w:fldCharType="end"/>
      </w:r>
    </w:p>
    <w:p w14:paraId="495ADDCC" w14:textId="59D9AFD7" w:rsidR="005B75B4" w:rsidRDefault="005B75B4">
      <w:pPr>
        <w:pStyle w:val="TOC2"/>
        <w:rPr>
          <w:rFonts w:asciiTheme="minorHAnsi" w:eastAsiaTheme="minorEastAsia" w:hAnsiTheme="minorHAnsi" w:cstheme="minorBidi"/>
          <w:b w:val="0"/>
          <w:sz w:val="22"/>
          <w:szCs w:val="22"/>
        </w:rPr>
      </w:pPr>
      <w:r>
        <w:t>3</w:t>
      </w:r>
      <w:r>
        <w:rPr>
          <w:rFonts w:asciiTheme="minorHAnsi" w:eastAsiaTheme="minorEastAsia" w:hAnsiTheme="minorHAnsi" w:cstheme="minorBidi"/>
          <w:b w:val="0"/>
          <w:sz w:val="22"/>
          <w:szCs w:val="22"/>
        </w:rPr>
        <w:tab/>
      </w:r>
      <w:r>
        <w:t>Algemene achtergrond</w:t>
      </w:r>
      <w:r>
        <w:tab/>
      </w:r>
      <w:r>
        <w:fldChar w:fldCharType="begin"/>
      </w:r>
      <w:r>
        <w:instrText xml:space="preserve"> PAGEREF _Toc491259063 \h </w:instrText>
      </w:r>
      <w:r>
        <w:fldChar w:fldCharType="separate"/>
      </w:r>
      <w:r>
        <w:t>5</w:t>
      </w:r>
      <w:r>
        <w:fldChar w:fldCharType="end"/>
      </w:r>
    </w:p>
    <w:p w14:paraId="3DFBBA45" w14:textId="3BC3500E" w:rsidR="005B75B4" w:rsidRDefault="005B75B4">
      <w:pPr>
        <w:pStyle w:val="TOC3"/>
        <w:rPr>
          <w:rFonts w:asciiTheme="minorHAnsi" w:eastAsiaTheme="minorEastAsia" w:hAnsiTheme="minorHAnsi" w:cstheme="minorBidi"/>
          <w:sz w:val="22"/>
          <w:szCs w:val="22"/>
        </w:rPr>
      </w:pPr>
      <w:r>
        <w:t xml:space="preserve">3. 1 </w:t>
      </w:r>
      <w:r>
        <w:rPr>
          <w:rFonts w:asciiTheme="minorHAnsi" w:eastAsiaTheme="minorEastAsia" w:hAnsiTheme="minorHAnsi" w:cstheme="minorBidi"/>
          <w:sz w:val="22"/>
          <w:szCs w:val="22"/>
        </w:rPr>
        <w:tab/>
      </w:r>
      <w:r>
        <w:t>Doelstelling en toegevoegde waarde</w:t>
      </w:r>
      <w:r>
        <w:tab/>
      </w:r>
      <w:r>
        <w:fldChar w:fldCharType="begin"/>
      </w:r>
      <w:r>
        <w:instrText xml:space="preserve"> PAGEREF _Toc491259064 \h </w:instrText>
      </w:r>
      <w:r>
        <w:fldChar w:fldCharType="separate"/>
      </w:r>
      <w:r>
        <w:t>5</w:t>
      </w:r>
      <w:r>
        <w:fldChar w:fldCharType="end"/>
      </w:r>
    </w:p>
    <w:p w14:paraId="7D25B6C3" w14:textId="4A6B00FB" w:rsidR="005B75B4" w:rsidRDefault="005B75B4">
      <w:pPr>
        <w:pStyle w:val="TOC3"/>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Organisatie, werkwijze en activiteiten</w:t>
      </w:r>
      <w:r>
        <w:tab/>
      </w:r>
      <w:r>
        <w:fldChar w:fldCharType="begin"/>
      </w:r>
      <w:r>
        <w:instrText xml:space="preserve"> PAGEREF _Toc491259065 \h </w:instrText>
      </w:r>
      <w:r>
        <w:fldChar w:fldCharType="separate"/>
      </w:r>
      <w:r>
        <w:t>5</w:t>
      </w:r>
      <w:r>
        <w:fldChar w:fldCharType="end"/>
      </w:r>
    </w:p>
    <w:p w14:paraId="2AE164E8" w14:textId="61CC69E6" w:rsidR="005B75B4" w:rsidRDefault="005B75B4">
      <w:pPr>
        <w:pStyle w:val="TOC3"/>
        <w:rPr>
          <w:rFonts w:asciiTheme="minorHAnsi" w:eastAsiaTheme="minorEastAsia" w:hAnsiTheme="minorHAnsi" w:cstheme="minorBidi"/>
          <w:sz w:val="22"/>
          <w:szCs w:val="22"/>
        </w:rPr>
      </w:pPr>
      <w:r>
        <w:t xml:space="preserve">3.3 </w:t>
      </w:r>
      <w:r>
        <w:rPr>
          <w:rFonts w:asciiTheme="minorHAnsi" w:eastAsiaTheme="minorEastAsia" w:hAnsiTheme="minorHAnsi" w:cstheme="minorBidi"/>
          <w:sz w:val="22"/>
          <w:szCs w:val="22"/>
        </w:rPr>
        <w:tab/>
      </w:r>
      <w:r>
        <w:t>Nederlandse rol en invloed</w:t>
      </w:r>
      <w:r>
        <w:tab/>
      </w:r>
      <w:r>
        <w:fldChar w:fldCharType="begin"/>
      </w:r>
      <w:r>
        <w:instrText xml:space="preserve"> PAGEREF _Toc491259066 \h </w:instrText>
      </w:r>
      <w:r>
        <w:fldChar w:fldCharType="separate"/>
      </w:r>
      <w:r>
        <w:t>6</w:t>
      </w:r>
      <w:r>
        <w:fldChar w:fldCharType="end"/>
      </w:r>
    </w:p>
    <w:p w14:paraId="23E8DABF" w14:textId="0959DEC9" w:rsidR="005B75B4" w:rsidRDefault="005B75B4">
      <w:pPr>
        <w:pStyle w:val="TOC3"/>
        <w:rPr>
          <w:rFonts w:asciiTheme="minorHAnsi" w:eastAsiaTheme="minorEastAsia" w:hAnsiTheme="minorHAnsi" w:cstheme="minorBidi"/>
          <w:sz w:val="22"/>
          <w:szCs w:val="22"/>
        </w:rPr>
      </w:pPr>
      <w:r>
        <w:t xml:space="preserve">3.4 </w:t>
      </w:r>
      <w:r>
        <w:rPr>
          <w:rFonts w:asciiTheme="minorHAnsi" w:eastAsiaTheme="minorEastAsia" w:hAnsiTheme="minorHAnsi" w:cstheme="minorBidi"/>
          <w:sz w:val="22"/>
          <w:szCs w:val="22"/>
        </w:rPr>
        <w:tab/>
      </w:r>
      <w:r>
        <w:t>Financiële omvang en bijdragen</w:t>
      </w:r>
      <w:r>
        <w:tab/>
      </w:r>
      <w:r>
        <w:fldChar w:fldCharType="begin"/>
      </w:r>
      <w:r>
        <w:instrText xml:space="preserve"> PAGEREF _Toc491259067 \h </w:instrText>
      </w:r>
      <w:r>
        <w:fldChar w:fldCharType="separate"/>
      </w:r>
      <w:r>
        <w:t>6</w:t>
      </w:r>
      <w:r>
        <w:fldChar w:fldCharType="end"/>
      </w:r>
    </w:p>
    <w:p w14:paraId="371C8949" w14:textId="23EE1FF3" w:rsidR="005B75B4" w:rsidRDefault="005B75B4">
      <w:pPr>
        <w:pStyle w:val="TOC2"/>
        <w:rPr>
          <w:rFonts w:asciiTheme="minorHAnsi" w:eastAsiaTheme="minorEastAsia" w:hAnsiTheme="minorHAnsi" w:cstheme="minorBidi"/>
          <w:b w:val="0"/>
          <w:sz w:val="22"/>
          <w:szCs w:val="22"/>
        </w:rPr>
      </w:pPr>
      <w:r>
        <w:t xml:space="preserve">4 </w:t>
      </w:r>
      <w:r>
        <w:rPr>
          <w:rFonts w:asciiTheme="minorHAnsi" w:eastAsiaTheme="minorEastAsia" w:hAnsiTheme="minorHAnsi" w:cstheme="minorBidi"/>
          <w:b w:val="0"/>
          <w:sz w:val="22"/>
          <w:szCs w:val="22"/>
        </w:rPr>
        <w:tab/>
      </w:r>
      <w:r>
        <w:t>Institutionele aspecten en functioneren van de organisatie</w:t>
      </w:r>
      <w:r>
        <w:tab/>
      </w:r>
      <w:r>
        <w:fldChar w:fldCharType="begin"/>
      </w:r>
      <w:r>
        <w:instrText xml:space="preserve"> PAGEREF _Toc491259068 \h </w:instrText>
      </w:r>
      <w:r>
        <w:fldChar w:fldCharType="separate"/>
      </w:r>
      <w:r>
        <w:t>9</w:t>
      </w:r>
      <w:r>
        <w:fldChar w:fldCharType="end"/>
      </w:r>
    </w:p>
    <w:p w14:paraId="5CCB7C53" w14:textId="4A0CB22D" w:rsidR="005B75B4" w:rsidRDefault="005B75B4">
      <w:pPr>
        <w:pStyle w:val="TOC3"/>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Strategie en verantwoording</w:t>
      </w:r>
      <w:r>
        <w:tab/>
      </w:r>
      <w:r>
        <w:fldChar w:fldCharType="begin"/>
      </w:r>
      <w:r>
        <w:instrText xml:space="preserve"> PAGEREF _Toc491259069 \h </w:instrText>
      </w:r>
      <w:r>
        <w:fldChar w:fldCharType="separate"/>
      </w:r>
      <w:r>
        <w:t>9</w:t>
      </w:r>
      <w:r>
        <w:fldChar w:fldCharType="end"/>
      </w:r>
    </w:p>
    <w:p w14:paraId="056D6EF2" w14:textId="5D804850" w:rsidR="005B75B4" w:rsidRDefault="005B75B4">
      <w:pPr>
        <w:pStyle w:val="TOC3"/>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Resultaatgerich</w:t>
      </w:r>
      <w:r w:rsidRPr="005B75B4">
        <w:t>theid en transparantie</w:t>
      </w:r>
      <w:r>
        <w:tab/>
      </w:r>
      <w:r>
        <w:fldChar w:fldCharType="begin"/>
      </w:r>
      <w:r>
        <w:instrText xml:space="preserve"> PAGEREF _Toc491259070 \h </w:instrText>
      </w:r>
      <w:r>
        <w:fldChar w:fldCharType="separate"/>
      </w:r>
      <w:r>
        <w:t>10</w:t>
      </w:r>
      <w:r>
        <w:fldChar w:fldCharType="end"/>
      </w:r>
    </w:p>
    <w:p w14:paraId="5245F7E1" w14:textId="257DC0F7" w:rsidR="005B75B4" w:rsidRDefault="005B75B4">
      <w:pPr>
        <w:pStyle w:val="TOC3"/>
        <w:rPr>
          <w:rFonts w:asciiTheme="minorHAnsi" w:eastAsiaTheme="minorEastAsia" w:hAnsiTheme="minorHAnsi" w:cstheme="minorBidi"/>
          <w:sz w:val="22"/>
          <w:szCs w:val="22"/>
        </w:rPr>
      </w:pPr>
      <w:r w:rsidRPr="005B75B4">
        <w:t>4.3</w:t>
      </w:r>
      <w:r>
        <w:rPr>
          <w:rFonts w:asciiTheme="minorHAnsi" w:eastAsiaTheme="minorEastAsia" w:hAnsiTheme="minorHAnsi" w:cstheme="minorBidi"/>
          <w:sz w:val="22"/>
          <w:szCs w:val="22"/>
        </w:rPr>
        <w:tab/>
      </w:r>
      <w:r>
        <w:t>Partnerschappen en samenwerking</w:t>
      </w:r>
      <w:r>
        <w:tab/>
      </w:r>
      <w:r>
        <w:fldChar w:fldCharType="begin"/>
      </w:r>
      <w:r>
        <w:instrText xml:space="preserve"> PAGEREF _Toc491259071 \h </w:instrText>
      </w:r>
      <w:r>
        <w:fldChar w:fldCharType="separate"/>
      </w:r>
      <w:r>
        <w:t>11</w:t>
      </w:r>
      <w:r>
        <w:fldChar w:fldCharType="end"/>
      </w:r>
    </w:p>
    <w:p w14:paraId="614354E5" w14:textId="138A41C1" w:rsidR="005B75B4" w:rsidRDefault="005B75B4">
      <w:pPr>
        <w:pStyle w:val="TOC3"/>
        <w:rPr>
          <w:rFonts w:asciiTheme="minorHAnsi" w:eastAsiaTheme="minorEastAsia" w:hAnsiTheme="minorHAnsi" w:cstheme="minorBidi"/>
          <w:sz w:val="22"/>
          <w:szCs w:val="22"/>
        </w:rPr>
      </w:pPr>
      <w:r>
        <w:t xml:space="preserve">4.4 </w:t>
      </w:r>
      <w:r>
        <w:rPr>
          <w:rFonts w:asciiTheme="minorHAnsi" w:eastAsiaTheme="minorEastAsia" w:hAnsiTheme="minorHAnsi" w:cstheme="minorBidi"/>
          <w:sz w:val="22"/>
          <w:szCs w:val="22"/>
        </w:rPr>
        <w:tab/>
      </w:r>
      <w:r>
        <w:t>Operationeel management</w:t>
      </w:r>
      <w:r>
        <w:tab/>
      </w:r>
      <w:r>
        <w:fldChar w:fldCharType="begin"/>
      </w:r>
      <w:r>
        <w:instrText xml:space="preserve"> PAGEREF _Toc491259072 \h </w:instrText>
      </w:r>
      <w:r>
        <w:fldChar w:fldCharType="separate"/>
      </w:r>
      <w:r>
        <w:t>12</w:t>
      </w:r>
      <w:r>
        <w:fldChar w:fldCharType="end"/>
      </w:r>
    </w:p>
    <w:p w14:paraId="6F1CAD14" w14:textId="23730DA3" w:rsidR="005B75B4" w:rsidRDefault="005B75B4">
      <w:pPr>
        <w:pStyle w:val="TOC3"/>
        <w:rPr>
          <w:rFonts w:asciiTheme="minorHAnsi" w:eastAsiaTheme="minorEastAsia" w:hAnsiTheme="minorHAnsi" w:cstheme="minorBidi"/>
          <w:sz w:val="22"/>
          <w:szCs w:val="22"/>
        </w:rPr>
      </w:pPr>
      <w:r w:rsidRPr="005B75B4">
        <w:t>4.5</w:t>
      </w:r>
      <w:r>
        <w:rPr>
          <w:rFonts w:asciiTheme="minorHAnsi" w:eastAsiaTheme="minorEastAsia" w:hAnsiTheme="minorHAnsi" w:cstheme="minorBidi"/>
          <w:sz w:val="22"/>
          <w:szCs w:val="22"/>
        </w:rPr>
        <w:tab/>
      </w:r>
      <w:r w:rsidRPr="005B75B4">
        <w:t>Beleidsevaluatie</w:t>
      </w:r>
      <w:r>
        <w:tab/>
      </w:r>
      <w:r>
        <w:fldChar w:fldCharType="begin"/>
      </w:r>
      <w:r>
        <w:instrText xml:space="preserve"> PAGEREF _Toc491259073 \h </w:instrText>
      </w:r>
      <w:r>
        <w:fldChar w:fldCharType="separate"/>
      </w:r>
      <w:r>
        <w:t>13</w:t>
      </w:r>
      <w:r>
        <w:fldChar w:fldCharType="end"/>
      </w:r>
    </w:p>
    <w:p w14:paraId="3A28DAF1" w14:textId="49A510D4" w:rsidR="005B75B4" w:rsidRDefault="005B75B4">
      <w:pPr>
        <w:pStyle w:val="TOC3"/>
        <w:rPr>
          <w:rFonts w:asciiTheme="minorHAnsi" w:eastAsiaTheme="minorEastAsia" w:hAnsiTheme="minorHAnsi" w:cstheme="minorBidi"/>
          <w:sz w:val="22"/>
          <w:szCs w:val="22"/>
        </w:rPr>
      </w:pPr>
      <w:r>
        <w:t>4.6</w:t>
      </w:r>
      <w:r>
        <w:rPr>
          <w:rFonts w:asciiTheme="minorHAnsi" w:eastAsiaTheme="minorEastAsia" w:hAnsiTheme="minorHAnsi" w:cstheme="minorBidi"/>
          <w:sz w:val="22"/>
          <w:szCs w:val="22"/>
        </w:rPr>
        <w:tab/>
      </w:r>
      <w:r>
        <w:t>Human Resource Management</w:t>
      </w:r>
      <w:r>
        <w:tab/>
      </w:r>
      <w:r>
        <w:fldChar w:fldCharType="begin"/>
      </w:r>
      <w:r>
        <w:instrText xml:space="preserve"> PAGEREF _Toc491259074 \h </w:instrText>
      </w:r>
      <w:r>
        <w:fldChar w:fldCharType="separate"/>
      </w:r>
      <w:r>
        <w:t>13</w:t>
      </w:r>
      <w:r>
        <w:fldChar w:fldCharType="end"/>
      </w:r>
    </w:p>
    <w:p w14:paraId="4C6420FF" w14:textId="74C0D180" w:rsidR="005B75B4" w:rsidRDefault="005B75B4">
      <w:pPr>
        <w:pStyle w:val="TOC3"/>
        <w:rPr>
          <w:rFonts w:asciiTheme="minorHAnsi" w:eastAsiaTheme="minorEastAsia" w:hAnsiTheme="minorHAnsi" w:cstheme="minorBidi"/>
          <w:sz w:val="22"/>
          <w:szCs w:val="22"/>
        </w:rPr>
      </w:pPr>
      <w:r>
        <w:t xml:space="preserve">4.7 </w:t>
      </w:r>
      <w:r>
        <w:rPr>
          <w:rFonts w:asciiTheme="minorHAnsi" w:eastAsiaTheme="minorEastAsia" w:hAnsiTheme="minorHAnsi" w:cstheme="minorBidi"/>
          <w:sz w:val="22"/>
          <w:szCs w:val="22"/>
        </w:rPr>
        <w:tab/>
      </w:r>
      <w:r>
        <w:t>Financiële stabiliteit</w:t>
      </w:r>
      <w:r>
        <w:tab/>
      </w:r>
      <w:r>
        <w:fldChar w:fldCharType="begin"/>
      </w:r>
      <w:r>
        <w:instrText xml:space="preserve"> PAGEREF _Toc491259075 \h </w:instrText>
      </w:r>
      <w:r>
        <w:fldChar w:fldCharType="separate"/>
      </w:r>
      <w:r>
        <w:t>14</w:t>
      </w:r>
      <w:r>
        <w:fldChar w:fldCharType="end"/>
      </w:r>
    </w:p>
    <w:p w14:paraId="3852C17C" w14:textId="14655E98" w:rsidR="005B75B4" w:rsidRDefault="005B75B4">
      <w:pPr>
        <w:pStyle w:val="TOC3"/>
        <w:rPr>
          <w:rFonts w:asciiTheme="minorHAnsi" w:eastAsiaTheme="minorEastAsia" w:hAnsiTheme="minorHAnsi" w:cstheme="minorBidi"/>
          <w:sz w:val="22"/>
          <w:szCs w:val="22"/>
        </w:rPr>
      </w:pPr>
      <w:r>
        <w:t xml:space="preserve">4.8 </w:t>
      </w:r>
      <w:r>
        <w:rPr>
          <w:rFonts w:asciiTheme="minorHAnsi" w:eastAsiaTheme="minorEastAsia" w:hAnsiTheme="minorHAnsi" w:cstheme="minorBidi"/>
          <w:sz w:val="22"/>
          <w:szCs w:val="22"/>
        </w:rPr>
        <w:tab/>
      </w:r>
      <w:r>
        <w:t>Kostenreductie</w:t>
      </w:r>
      <w:r>
        <w:tab/>
      </w:r>
      <w:r>
        <w:fldChar w:fldCharType="begin"/>
      </w:r>
      <w:r>
        <w:instrText xml:space="preserve"> PAGEREF _Toc491259076 \h </w:instrText>
      </w:r>
      <w:r>
        <w:fldChar w:fldCharType="separate"/>
      </w:r>
      <w:r>
        <w:t>15</w:t>
      </w:r>
      <w:r>
        <w:fldChar w:fldCharType="end"/>
      </w:r>
    </w:p>
    <w:p w14:paraId="59D58CA2" w14:textId="700DB08B" w:rsidR="005B75B4" w:rsidRDefault="005B75B4">
      <w:pPr>
        <w:pStyle w:val="TOC3"/>
        <w:rPr>
          <w:rFonts w:asciiTheme="minorHAnsi" w:eastAsiaTheme="minorEastAsia" w:hAnsiTheme="minorHAnsi" w:cstheme="minorBidi"/>
          <w:sz w:val="22"/>
          <w:szCs w:val="22"/>
        </w:rPr>
      </w:pPr>
      <w:r>
        <w:t xml:space="preserve">4.9 </w:t>
      </w:r>
      <w:r>
        <w:rPr>
          <w:rFonts w:asciiTheme="minorHAnsi" w:eastAsiaTheme="minorEastAsia" w:hAnsiTheme="minorHAnsi" w:cstheme="minorBidi"/>
          <w:sz w:val="22"/>
          <w:szCs w:val="22"/>
        </w:rPr>
        <w:tab/>
      </w:r>
      <w:r>
        <w:t>Corruptiebestrijding</w:t>
      </w:r>
      <w:r>
        <w:tab/>
      </w:r>
      <w:r>
        <w:fldChar w:fldCharType="begin"/>
      </w:r>
      <w:r>
        <w:instrText xml:space="preserve"> PAGEREF _Toc491259077 \h </w:instrText>
      </w:r>
      <w:r>
        <w:fldChar w:fldCharType="separate"/>
      </w:r>
      <w:r>
        <w:t>16</w:t>
      </w:r>
      <w:r>
        <w:fldChar w:fldCharType="end"/>
      </w:r>
    </w:p>
    <w:p w14:paraId="708113D7" w14:textId="7347FCA2" w:rsidR="005B75B4" w:rsidRDefault="005B75B4">
      <w:pPr>
        <w:pStyle w:val="TOC2"/>
        <w:rPr>
          <w:rFonts w:asciiTheme="minorHAnsi" w:eastAsiaTheme="minorEastAsia" w:hAnsiTheme="minorHAnsi" w:cstheme="minorBidi"/>
          <w:b w:val="0"/>
          <w:sz w:val="22"/>
          <w:szCs w:val="22"/>
        </w:rPr>
      </w:pPr>
      <w:r>
        <w:t xml:space="preserve">5 </w:t>
      </w:r>
      <w:r>
        <w:rPr>
          <w:rFonts w:asciiTheme="minorHAnsi" w:eastAsiaTheme="minorEastAsia" w:hAnsiTheme="minorHAnsi" w:cstheme="minorBidi"/>
          <w:b w:val="0"/>
          <w:sz w:val="22"/>
          <w:szCs w:val="22"/>
        </w:rPr>
        <w:tab/>
      </w:r>
      <w:r>
        <w:t>Relevantie van de organisatie</w:t>
      </w:r>
      <w:r>
        <w:tab/>
      </w:r>
      <w:r>
        <w:fldChar w:fldCharType="begin"/>
      </w:r>
      <w:r>
        <w:instrText xml:space="preserve"> PAGEREF _Toc491259078 \h </w:instrText>
      </w:r>
      <w:r>
        <w:fldChar w:fldCharType="separate"/>
      </w:r>
      <w:r>
        <w:t>18</w:t>
      </w:r>
      <w:r>
        <w:fldChar w:fldCharType="end"/>
      </w:r>
    </w:p>
    <w:p w14:paraId="22E31C03" w14:textId="1AA3E624" w:rsidR="005B75B4" w:rsidRDefault="005B75B4">
      <w:pPr>
        <w:pStyle w:val="TOC3"/>
        <w:rPr>
          <w:rFonts w:asciiTheme="minorHAnsi" w:eastAsiaTheme="minorEastAsia" w:hAnsiTheme="minorHAnsi" w:cstheme="minorBidi"/>
          <w:sz w:val="22"/>
          <w:szCs w:val="22"/>
        </w:rPr>
      </w:pPr>
      <w:r>
        <w:t xml:space="preserve">5.1 </w:t>
      </w:r>
      <w:r>
        <w:rPr>
          <w:rFonts w:asciiTheme="minorHAnsi" w:eastAsiaTheme="minorEastAsia" w:hAnsiTheme="minorHAnsi" w:cstheme="minorBidi"/>
          <w:sz w:val="22"/>
          <w:szCs w:val="22"/>
        </w:rPr>
        <w:tab/>
      </w:r>
      <w:r>
        <w:t>Relevantie voor Nederlandse BHOS-prioriteiten</w:t>
      </w:r>
      <w:r>
        <w:tab/>
      </w:r>
      <w:r>
        <w:fldChar w:fldCharType="begin"/>
      </w:r>
      <w:r>
        <w:instrText xml:space="preserve"> PAGEREF _Toc491259079 \h </w:instrText>
      </w:r>
      <w:r>
        <w:fldChar w:fldCharType="separate"/>
      </w:r>
      <w:r>
        <w:t>18</w:t>
      </w:r>
      <w:r>
        <w:fldChar w:fldCharType="end"/>
      </w:r>
    </w:p>
    <w:p w14:paraId="7DB67122" w14:textId="179EFE62" w:rsidR="005B75B4" w:rsidRDefault="005B75B4">
      <w:pPr>
        <w:pStyle w:val="TOC3"/>
        <w:rPr>
          <w:rFonts w:asciiTheme="minorHAnsi" w:eastAsiaTheme="minorEastAsia" w:hAnsiTheme="minorHAnsi" w:cstheme="minorBidi"/>
          <w:sz w:val="22"/>
          <w:szCs w:val="22"/>
        </w:rPr>
      </w:pPr>
      <w:r>
        <w:t>5.2</w:t>
      </w:r>
      <w:r>
        <w:rPr>
          <w:rFonts w:asciiTheme="minorHAnsi" w:eastAsiaTheme="minorEastAsia" w:hAnsiTheme="minorHAnsi" w:cstheme="minorBidi"/>
          <w:sz w:val="22"/>
          <w:szCs w:val="22"/>
        </w:rPr>
        <w:tab/>
      </w:r>
      <w:r>
        <w:t>Overige relevantie</w:t>
      </w:r>
      <w:r>
        <w:tab/>
      </w:r>
      <w:r>
        <w:fldChar w:fldCharType="begin"/>
      </w:r>
      <w:r>
        <w:instrText xml:space="preserve"> PAGEREF _Toc491259080 \h </w:instrText>
      </w:r>
      <w:r>
        <w:fldChar w:fldCharType="separate"/>
      </w:r>
      <w:r>
        <w:t>19</w:t>
      </w:r>
      <w:r>
        <w:fldChar w:fldCharType="end"/>
      </w:r>
    </w:p>
    <w:p w14:paraId="4D974934" w14:textId="2F88864B" w:rsidR="00261F77" w:rsidRPr="00290657" w:rsidRDefault="00AA0E58" w:rsidP="0014161D">
      <w:pPr>
        <w:pStyle w:val="TOC3"/>
        <w:rPr>
          <w:rFonts w:ascii="Calibri" w:hAnsi="Calibri"/>
          <w:sz w:val="22"/>
          <w:szCs w:val="22"/>
        </w:rPr>
      </w:pPr>
      <w:r w:rsidRPr="00785F18">
        <w:fldChar w:fldCharType="end"/>
      </w:r>
    </w:p>
    <w:p w14:paraId="4D974935" w14:textId="77777777" w:rsidR="00101F98" w:rsidRPr="00785F18" w:rsidRDefault="00101F98" w:rsidP="00163FA2">
      <w:pPr>
        <w:tabs>
          <w:tab w:val="left" w:pos="0"/>
        </w:tabs>
      </w:pPr>
    </w:p>
    <w:p w14:paraId="4D974936" w14:textId="6DFC264D" w:rsidR="00A908F9" w:rsidRDefault="00A908F9" w:rsidP="00101F98"/>
    <w:p w14:paraId="7D564F7B" w14:textId="49152EA6" w:rsidR="001B06FD" w:rsidRDefault="001B06FD" w:rsidP="00101F98"/>
    <w:p w14:paraId="4CAB728A" w14:textId="5EE7DC52" w:rsidR="001B06FD" w:rsidRDefault="001B06FD" w:rsidP="00101F98"/>
    <w:p w14:paraId="7FFC0F66" w14:textId="0F521827" w:rsidR="001B06FD" w:rsidRDefault="001B06FD" w:rsidP="00101F98"/>
    <w:p w14:paraId="5B754810" w14:textId="0AC35BBA" w:rsidR="001B06FD" w:rsidRDefault="001B06FD" w:rsidP="00101F98"/>
    <w:p w14:paraId="03A2B23C" w14:textId="7B69BB09" w:rsidR="001B06FD" w:rsidRDefault="001B06FD" w:rsidP="00101F98"/>
    <w:p w14:paraId="22393B36" w14:textId="397DEE7C" w:rsidR="001B06FD" w:rsidRDefault="001B06FD" w:rsidP="00101F98"/>
    <w:p w14:paraId="2F32DE4B" w14:textId="2CD3F962" w:rsidR="001B06FD" w:rsidRDefault="001B06FD" w:rsidP="00101F98"/>
    <w:p w14:paraId="5B12DE98" w14:textId="74B81B4D" w:rsidR="001B06FD" w:rsidRDefault="001B06FD" w:rsidP="00101F98"/>
    <w:p w14:paraId="55FC46E4" w14:textId="059CBE03" w:rsidR="001B06FD" w:rsidRDefault="001B06FD" w:rsidP="00101F98"/>
    <w:p w14:paraId="69322957" w14:textId="066DA092" w:rsidR="001B06FD" w:rsidRDefault="001B06FD" w:rsidP="00101F98"/>
    <w:p w14:paraId="36B5BA83" w14:textId="0D277E0A" w:rsidR="001B06FD" w:rsidRDefault="001B06FD" w:rsidP="00101F98"/>
    <w:p w14:paraId="3F1AED32" w14:textId="69A64CB6" w:rsidR="001B06FD" w:rsidRDefault="001B06FD" w:rsidP="00101F98"/>
    <w:p w14:paraId="2BD9C027" w14:textId="10766075" w:rsidR="001B06FD" w:rsidRDefault="001B06FD" w:rsidP="00101F98"/>
    <w:p w14:paraId="285F1084" w14:textId="04DAF56C" w:rsidR="001B06FD" w:rsidRDefault="001B06FD" w:rsidP="00101F98"/>
    <w:p w14:paraId="5F05E954" w14:textId="4037A577" w:rsidR="001B06FD" w:rsidRDefault="001B06FD" w:rsidP="00101F98"/>
    <w:p w14:paraId="31D389BE" w14:textId="4F3613D0" w:rsidR="001B06FD" w:rsidRDefault="001B06FD" w:rsidP="00101F98"/>
    <w:p w14:paraId="68A2E6B4" w14:textId="464C08DE" w:rsidR="001B06FD" w:rsidRDefault="001B06FD" w:rsidP="00101F98"/>
    <w:p w14:paraId="6DFD109A" w14:textId="06FAF102" w:rsidR="001B06FD" w:rsidRDefault="001B06FD" w:rsidP="00101F98"/>
    <w:p w14:paraId="4D974938" w14:textId="5C7BB1F6" w:rsidR="00A908F9" w:rsidRDefault="00A908F9" w:rsidP="00A908F9"/>
    <w:p w14:paraId="4D974939" w14:textId="126B3B62" w:rsidR="00A908F9" w:rsidRDefault="001C3A3F" w:rsidP="001C3A3F">
      <w:pPr>
        <w:pStyle w:val="Heading1"/>
        <w:tabs>
          <w:tab w:val="num" w:pos="0"/>
        </w:tabs>
        <w:spacing w:after="240" w:line="240" w:lineRule="auto"/>
        <w:ind w:hanging="1162"/>
      </w:pPr>
      <w:bookmarkStart w:id="10" w:name="_Toc410397639"/>
      <w:bookmarkStart w:id="11" w:name="_Toc473812735"/>
      <w:bookmarkStart w:id="12" w:name="_Toc489453916"/>
      <w:bookmarkStart w:id="13" w:name="_Toc491259059"/>
      <w:r>
        <w:lastRenderedPageBreak/>
        <w:t>1</w:t>
      </w:r>
      <w:r>
        <w:tab/>
      </w:r>
      <w:bookmarkEnd w:id="10"/>
      <w:bookmarkEnd w:id="11"/>
      <w:r>
        <w:t>Samenvatting</w:t>
      </w:r>
      <w:bookmarkEnd w:id="12"/>
      <w:bookmarkEnd w:id="13"/>
    </w:p>
    <w:p w14:paraId="4D97493A" w14:textId="77777777" w:rsidR="00101F98" w:rsidRPr="00A908F9" w:rsidRDefault="00101F98" w:rsidP="00A908F9">
      <w:pPr>
        <w:sectPr w:rsidR="00101F98" w:rsidRPr="00A908F9" w:rsidSect="00EE1B9E">
          <w:headerReference w:type="first" r:id="rId17"/>
          <w:type w:val="continuous"/>
          <w:pgSz w:w="11906" w:h="16838" w:code="9"/>
          <w:pgMar w:top="2520" w:right="960" w:bottom="1080" w:left="3220" w:header="200" w:footer="660" w:gutter="0"/>
          <w:cols w:space="708"/>
          <w:titlePg/>
          <w:docGrid w:linePitch="360"/>
        </w:sectPr>
      </w:pPr>
    </w:p>
    <w:p w14:paraId="4BED83A9" w14:textId="35665703" w:rsidR="00FD6DC6" w:rsidRPr="005E4531" w:rsidRDefault="00FD6DC6" w:rsidP="00FD6DC6">
      <w:pPr>
        <w:pStyle w:val="Heading2"/>
        <w:tabs>
          <w:tab w:val="left" w:pos="-1162"/>
          <w:tab w:val="left" w:pos="0"/>
          <w:tab w:val="num" w:pos="1160"/>
        </w:tabs>
        <w:spacing w:line="240" w:lineRule="auto"/>
        <w:ind w:hanging="1162"/>
      </w:pPr>
      <w:bookmarkStart w:id="14" w:name="_Toc238533654"/>
      <w:bookmarkStart w:id="15" w:name="_Toc238537583"/>
      <w:bookmarkStart w:id="16" w:name="_Toc238538136"/>
      <w:bookmarkStart w:id="17" w:name="_Toc238538151"/>
      <w:bookmarkStart w:id="18" w:name="_Toc410397640"/>
      <w:bookmarkStart w:id="19" w:name="_Toc491259060"/>
      <w:bookmarkStart w:id="20" w:name="_Toc300822504"/>
      <w:bookmarkEnd w:id="14"/>
      <w:bookmarkEnd w:id="15"/>
      <w:bookmarkEnd w:id="16"/>
      <w:bookmarkEnd w:id="17"/>
      <w:r>
        <w:t>1</w:t>
      </w:r>
      <w:r w:rsidRPr="005E4531">
        <w:t xml:space="preserve">.1 </w:t>
      </w:r>
      <w:r w:rsidRPr="005E4531">
        <w:tab/>
        <w:t>Institutionele aspecten en functioneren</w:t>
      </w:r>
      <w:bookmarkEnd w:id="18"/>
      <w:bookmarkEnd w:id="19"/>
    </w:p>
    <w:p w14:paraId="71E0C4C2" w14:textId="77777777" w:rsidR="00FD6DC6" w:rsidRPr="005E4531" w:rsidRDefault="00FD6DC6" w:rsidP="00FD6DC6">
      <w:r w:rsidRPr="005E4531">
        <w:rPr>
          <w:rFonts w:cs="Arial"/>
          <w:iCs/>
          <w:kern w:val="32"/>
          <w:szCs w:val="28"/>
        </w:rPr>
        <w:t xml:space="preserve">OHCHR scoort </w:t>
      </w:r>
      <w:r>
        <w:rPr>
          <w:rFonts w:cs="Arial"/>
          <w:iCs/>
          <w:kern w:val="32"/>
          <w:szCs w:val="28"/>
        </w:rPr>
        <w:t>goed</w:t>
      </w:r>
      <w:r w:rsidRPr="005E4531">
        <w:rPr>
          <w:rFonts w:cs="Arial"/>
          <w:iCs/>
          <w:kern w:val="32"/>
          <w:szCs w:val="28"/>
        </w:rPr>
        <w:t xml:space="preserve"> waar het gaat om strategie en focus, effectiviteit, transparantie en financiën. In het huidige financieringsmodel ontvangt </w:t>
      </w:r>
      <w:r w:rsidRPr="005E4531">
        <w:t xml:space="preserve">OHCHR geen vaste contributies. De middelen komen voor </w:t>
      </w:r>
      <w:r>
        <w:t xml:space="preserve">bijna </w:t>
      </w:r>
      <w:r w:rsidRPr="005E4531">
        <w:t>4</w:t>
      </w:r>
      <w:r>
        <w:t>5</w:t>
      </w:r>
      <w:r w:rsidRPr="005E4531">
        <w:t xml:space="preserve">% uit het reguliere budget van de VN. Dat betekent dat OHCHR erg afhankelijk is van vrijwillige bijdragen van donoren. Uitgaven overtroffen de laatste jaren inkomsten. OHCHR heeft veel gedaan aan het stellen van prioriteiten om zo efficiënt mogelijk met de bestaande middelen om te gaan. OHCHR </w:t>
      </w:r>
      <w:r>
        <w:t xml:space="preserve">moet </w:t>
      </w:r>
      <w:r w:rsidRPr="005E4531">
        <w:t>werkzaamheden</w:t>
      </w:r>
      <w:r>
        <w:t xml:space="preserve"> </w:t>
      </w:r>
      <w:r w:rsidRPr="005E4531">
        <w:t xml:space="preserve">verrichten in </w:t>
      </w:r>
      <w:r>
        <w:t>lastige</w:t>
      </w:r>
      <w:r w:rsidRPr="005E4531">
        <w:t xml:space="preserve"> politieke omstandigheden waardoor het behalen van resultaten wordt bemoeilijkt. </w:t>
      </w:r>
    </w:p>
    <w:p w14:paraId="56E930F3" w14:textId="77777777" w:rsidR="00FD6DC6" w:rsidRPr="005E4531" w:rsidRDefault="00FD6DC6" w:rsidP="00FD6DC6"/>
    <w:tbl>
      <w:tblPr>
        <w:tblW w:w="73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98"/>
        <w:gridCol w:w="851"/>
        <w:gridCol w:w="1417"/>
      </w:tblGrid>
      <w:tr w:rsidR="00FD6DC6" w:rsidRPr="005E4531" w14:paraId="6E0F5BF2" w14:textId="77777777" w:rsidTr="005105A1">
        <w:tc>
          <w:tcPr>
            <w:tcW w:w="5098" w:type="dxa"/>
            <w:tcBorders>
              <w:top w:val="single" w:sz="12" w:space="0" w:color="auto"/>
              <w:left w:val="single" w:sz="12" w:space="0" w:color="auto"/>
              <w:bottom w:val="single" w:sz="12" w:space="0" w:color="auto"/>
            </w:tcBorders>
            <w:shd w:val="clear" w:color="auto" w:fill="BFBFBF" w:themeFill="background1" w:themeFillShade="BF"/>
          </w:tcPr>
          <w:p w14:paraId="4B07B876" w14:textId="77777777" w:rsidR="00FD6DC6" w:rsidRPr="005E4531" w:rsidRDefault="00FD6DC6" w:rsidP="000C7B90">
            <w:r w:rsidRPr="005E4531">
              <w:rPr>
                <w:b/>
              </w:rPr>
              <w:t>Institutionele aspecten en functioneren</w:t>
            </w:r>
          </w:p>
        </w:tc>
        <w:tc>
          <w:tcPr>
            <w:tcW w:w="851" w:type="dxa"/>
            <w:tcBorders>
              <w:top w:val="single" w:sz="12" w:space="0" w:color="auto"/>
              <w:bottom w:val="single" w:sz="12" w:space="0" w:color="auto"/>
            </w:tcBorders>
            <w:shd w:val="clear" w:color="auto" w:fill="BFBFBF" w:themeFill="background1" w:themeFillShade="BF"/>
          </w:tcPr>
          <w:p w14:paraId="023C6D13" w14:textId="77777777" w:rsidR="00FD6DC6" w:rsidRPr="005E4531" w:rsidRDefault="00FD6DC6" w:rsidP="000C7B90">
            <w:r w:rsidRPr="005E4531">
              <w:t>Score</w:t>
            </w:r>
          </w:p>
        </w:tc>
        <w:tc>
          <w:tcPr>
            <w:tcW w:w="1417" w:type="dxa"/>
            <w:tcBorders>
              <w:top w:val="single" w:sz="12" w:space="0" w:color="auto"/>
              <w:bottom w:val="single" w:sz="12" w:space="0" w:color="auto"/>
              <w:right w:val="single" w:sz="12" w:space="0" w:color="auto"/>
            </w:tcBorders>
            <w:shd w:val="clear" w:color="auto" w:fill="BFBFBF" w:themeFill="background1" w:themeFillShade="BF"/>
          </w:tcPr>
          <w:p w14:paraId="63311C16" w14:textId="77777777" w:rsidR="00FD6DC6" w:rsidRPr="005E4531" w:rsidRDefault="00FD6DC6" w:rsidP="000C7B90">
            <w:r w:rsidRPr="005E4531">
              <w:t>Verandering</w:t>
            </w:r>
          </w:p>
        </w:tc>
      </w:tr>
      <w:tr w:rsidR="00FD6DC6" w:rsidRPr="005E4531" w14:paraId="353891CF" w14:textId="77777777" w:rsidTr="000C7B90">
        <w:tc>
          <w:tcPr>
            <w:tcW w:w="5098" w:type="dxa"/>
            <w:tcBorders>
              <w:top w:val="single" w:sz="12" w:space="0" w:color="auto"/>
              <w:left w:val="single" w:sz="12" w:space="0" w:color="auto"/>
            </w:tcBorders>
            <w:shd w:val="clear" w:color="auto" w:fill="auto"/>
          </w:tcPr>
          <w:p w14:paraId="5E474F98" w14:textId="77777777" w:rsidR="00FD6DC6" w:rsidRPr="005E4531" w:rsidRDefault="00FD6DC6" w:rsidP="000C7B90">
            <w:r w:rsidRPr="005E4531">
              <w:t xml:space="preserve">Strategie en verantwoording </w:t>
            </w:r>
          </w:p>
        </w:tc>
        <w:tc>
          <w:tcPr>
            <w:tcW w:w="851" w:type="dxa"/>
            <w:tcBorders>
              <w:top w:val="single" w:sz="12" w:space="0" w:color="auto"/>
            </w:tcBorders>
            <w:shd w:val="clear" w:color="auto" w:fill="auto"/>
            <w:vAlign w:val="center"/>
          </w:tcPr>
          <w:p w14:paraId="70C55DA5" w14:textId="77777777" w:rsidR="00FD6DC6" w:rsidRPr="005E4531" w:rsidRDefault="00FD6DC6" w:rsidP="000C7B90">
            <w:pPr>
              <w:jc w:val="center"/>
            </w:pPr>
            <w:r w:rsidRPr="005E4531">
              <w:t>3</w:t>
            </w:r>
          </w:p>
        </w:tc>
        <w:tc>
          <w:tcPr>
            <w:tcW w:w="1417" w:type="dxa"/>
            <w:tcBorders>
              <w:top w:val="single" w:sz="12" w:space="0" w:color="auto"/>
              <w:right w:val="single" w:sz="12" w:space="0" w:color="auto"/>
            </w:tcBorders>
            <w:shd w:val="clear" w:color="auto" w:fill="auto"/>
            <w:vAlign w:val="center"/>
          </w:tcPr>
          <w:p w14:paraId="5EA68491" w14:textId="77777777" w:rsidR="00FD6DC6" w:rsidRPr="005E4531" w:rsidRDefault="00FD6DC6" w:rsidP="000C7B90">
            <w:pPr>
              <w:jc w:val="center"/>
            </w:pPr>
            <w:r w:rsidRPr="005E4531">
              <w:sym w:font="Wingdings" w:char="F0E8"/>
            </w:r>
          </w:p>
        </w:tc>
      </w:tr>
      <w:tr w:rsidR="00FD6DC6" w:rsidRPr="005E4531" w14:paraId="3AD13038" w14:textId="77777777" w:rsidTr="000C7B90">
        <w:tc>
          <w:tcPr>
            <w:tcW w:w="5098" w:type="dxa"/>
            <w:tcBorders>
              <w:left w:val="single" w:sz="12" w:space="0" w:color="auto"/>
            </w:tcBorders>
            <w:shd w:val="clear" w:color="auto" w:fill="auto"/>
          </w:tcPr>
          <w:p w14:paraId="563E7196" w14:textId="77777777" w:rsidR="00FD6DC6" w:rsidRPr="005E4531" w:rsidRDefault="00FD6DC6" w:rsidP="000C7B90">
            <w:r w:rsidRPr="005E4531">
              <w:t>Resultaatgerichtheid en transparantie</w:t>
            </w:r>
          </w:p>
        </w:tc>
        <w:tc>
          <w:tcPr>
            <w:tcW w:w="851" w:type="dxa"/>
            <w:shd w:val="clear" w:color="auto" w:fill="auto"/>
            <w:vAlign w:val="center"/>
          </w:tcPr>
          <w:p w14:paraId="34987AF5" w14:textId="77777777" w:rsidR="00FD6DC6" w:rsidRPr="005E4531" w:rsidRDefault="00FD6DC6" w:rsidP="000C7B90">
            <w:pPr>
              <w:jc w:val="center"/>
            </w:pPr>
            <w:r w:rsidRPr="005E4531">
              <w:t>3</w:t>
            </w:r>
          </w:p>
        </w:tc>
        <w:tc>
          <w:tcPr>
            <w:tcW w:w="1417" w:type="dxa"/>
            <w:tcBorders>
              <w:right w:val="single" w:sz="12" w:space="0" w:color="auto"/>
            </w:tcBorders>
            <w:shd w:val="clear" w:color="auto" w:fill="auto"/>
            <w:vAlign w:val="center"/>
          </w:tcPr>
          <w:p w14:paraId="58B1DF52" w14:textId="77777777" w:rsidR="00FD6DC6" w:rsidRPr="005E4531" w:rsidRDefault="00FD6DC6" w:rsidP="000C7B90">
            <w:pPr>
              <w:jc w:val="center"/>
            </w:pPr>
            <w:r w:rsidRPr="005E4531">
              <w:sym w:font="Wingdings" w:char="F0E8"/>
            </w:r>
          </w:p>
        </w:tc>
      </w:tr>
      <w:tr w:rsidR="00FD6DC6" w:rsidRPr="005E4531" w14:paraId="58AB4E5F" w14:textId="77777777" w:rsidTr="000C7B90">
        <w:tc>
          <w:tcPr>
            <w:tcW w:w="5098" w:type="dxa"/>
            <w:tcBorders>
              <w:left w:val="single" w:sz="12" w:space="0" w:color="auto"/>
            </w:tcBorders>
            <w:shd w:val="clear" w:color="auto" w:fill="auto"/>
          </w:tcPr>
          <w:p w14:paraId="0633AF9C" w14:textId="77777777" w:rsidR="00FD6DC6" w:rsidRPr="005E4531" w:rsidRDefault="00FD6DC6" w:rsidP="000C7B90">
            <w:r w:rsidRPr="005E4531">
              <w:t>Partnerschappen</w:t>
            </w:r>
          </w:p>
        </w:tc>
        <w:tc>
          <w:tcPr>
            <w:tcW w:w="851" w:type="dxa"/>
            <w:shd w:val="clear" w:color="auto" w:fill="auto"/>
            <w:vAlign w:val="center"/>
          </w:tcPr>
          <w:p w14:paraId="07E4B04B" w14:textId="77777777" w:rsidR="00FD6DC6" w:rsidRPr="005E4531" w:rsidRDefault="00FD6DC6" w:rsidP="000C7B90">
            <w:pPr>
              <w:jc w:val="center"/>
            </w:pPr>
            <w:r w:rsidRPr="005E4531">
              <w:t>4</w:t>
            </w:r>
          </w:p>
        </w:tc>
        <w:tc>
          <w:tcPr>
            <w:tcW w:w="1417" w:type="dxa"/>
            <w:tcBorders>
              <w:right w:val="single" w:sz="12" w:space="0" w:color="auto"/>
            </w:tcBorders>
            <w:shd w:val="clear" w:color="auto" w:fill="auto"/>
            <w:vAlign w:val="center"/>
          </w:tcPr>
          <w:p w14:paraId="6B4BDEB2" w14:textId="77777777" w:rsidR="00FD6DC6" w:rsidRPr="005E4531" w:rsidRDefault="00FD6DC6" w:rsidP="000C7B90">
            <w:pPr>
              <w:jc w:val="center"/>
            </w:pPr>
            <w:r w:rsidRPr="005E4531">
              <w:sym w:font="Wingdings" w:char="F0E8"/>
            </w:r>
          </w:p>
        </w:tc>
      </w:tr>
      <w:tr w:rsidR="00FD6DC6" w:rsidRPr="005E4531" w14:paraId="02E41E02" w14:textId="77777777" w:rsidTr="000C7B90">
        <w:tc>
          <w:tcPr>
            <w:tcW w:w="5098" w:type="dxa"/>
            <w:tcBorders>
              <w:left w:val="single" w:sz="12" w:space="0" w:color="auto"/>
            </w:tcBorders>
            <w:shd w:val="clear" w:color="auto" w:fill="auto"/>
          </w:tcPr>
          <w:p w14:paraId="3EEA6828" w14:textId="77777777" w:rsidR="00FD6DC6" w:rsidRPr="005E4531" w:rsidRDefault="00FD6DC6" w:rsidP="000C7B90">
            <w:r w:rsidRPr="005E4531">
              <w:t>Operationeel management</w:t>
            </w:r>
          </w:p>
        </w:tc>
        <w:tc>
          <w:tcPr>
            <w:tcW w:w="851" w:type="dxa"/>
            <w:shd w:val="clear" w:color="auto" w:fill="auto"/>
            <w:vAlign w:val="center"/>
          </w:tcPr>
          <w:p w14:paraId="41AA919C" w14:textId="77777777" w:rsidR="00FD6DC6" w:rsidRPr="005E4531" w:rsidRDefault="00FD6DC6" w:rsidP="000C7B90">
            <w:pPr>
              <w:jc w:val="center"/>
            </w:pPr>
            <w:r w:rsidRPr="005E4531">
              <w:t>3</w:t>
            </w:r>
          </w:p>
        </w:tc>
        <w:tc>
          <w:tcPr>
            <w:tcW w:w="1417" w:type="dxa"/>
            <w:tcBorders>
              <w:right w:val="single" w:sz="12" w:space="0" w:color="auto"/>
            </w:tcBorders>
            <w:shd w:val="clear" w:color="auto" w:fill="auto"/>
            <w:vAlign w:val="center"/>
          </w:tcPr>
          <w:p w14:paraId="47A0E7A9" w14:textId="77777777" w:rsidR="00FD6DC6" w:rsidRPr="005E4531" w:rsidRDefault="00FD6DC6" w:rsidP="000C7B90">
            <w:pPr>
              <w:jc w:val="center"/>
            </w:pPr>
            <w:r w:rsidRPr="005E4531">
              <w:sym w:font="Wingdings" w:char="F0E8"/>
            </w:r>
          </w:p>
        </w:tc>
      </w:tr>
      <w:tr w:rsidR="00FD6DC6" w:rsidRPr="005E4531" w14:paraId="099F1F89" w14:textId="77777777" w:rsidTr="000C7B90">
        <w:tc>
          <w:tcPr>
            <w:tcW w:w="5098" w:type="dxa"/>
            <w:tcBorders>
              <w:left w:val="single" w:sz="12" w:space="0" w:color="auto"/>
            </w:tcBorders>
            <w:shd w:val="clear" w:color="auto" w:fill="auto"/>
          </w:tcPr>
          <w:p w14:paraId="045FDD84" w14:textId="77777777" w:rsidR="00FD6DC6" w:rsidRPr="005E4531" w:rsidRDefault="00FD6DC6" w:rsidP="000C7B90">
            <w:r w:rsidRPr="005E4531">
              <w:t>Beleidsevaluatie</w:t>
            </w:r>
          </w:p>
        </w:tc>
        <w:tc>
          <w:tcPr>
            <w:tcW w:w="851" w:type="dxa"/>
            <w:shd w:val="clear" w:color="auto" w:fill="auto"/>
            <w:vAlign w:val="center"/>
          </w:tcPr>
          <w:p w14:paraId="6CC1B990" w14:textId="77777777" w:rsidR="00FD6DC6" w:rsidRPr="005E4531" w:rsidRDefault="00FD6DC6" w:rsidP="000C7B90">
            <w:pPr>
              <w:jc w:val="center"/>
            </w:pPr>
            <w:r w:rsidRPr="005E4531">
              <w:t>3</w:t>
            </w:r>
          </w:p>
        </w:tc>
        <w:tc>
          <w:tcPr>
            <w:tcW w:w="1417" w:type="dxa"/>
            <w:tcBorders>
              <w:right w:val="single" w:sz="12" w:space="0" w:color="auto"/>
            </w:tcBorders>
            <w:shd w:val="clear" w:color="auto" w:fill="auto"/>
            <w:vAlign w:val="center"/>
          </w:tcPr>
          <w:p w14:paraId="5EF8CB61" w14:textId="77777777" w:rsidR="00FD6DC6" w:rsidRPr="005E4531" w:rsidRDefault="00FD6DC6" w:rsidP="000C7B90">
            <w:pPr>
              <w:jc w:val="center"/>
            </w:pPr>
            <w:r w:rsidRPr="005E4531">
              <w:sym w:font="Wingdings" w:char="F0E8"/>
            </w:r>
          </w:p>
        </w:tc>
      </w:tr>
      <w:tr w:rsidR="00FD6DC6" w:rsidRPr="005E4531" w14:paraId="4D18927B" w14:textId="77777777" w:rsidTr="000C7B90">
        <w:trPr>
          <w:trHeight w:val="231"/>
        </w:trPr>
        <w:tc>
          <w:tcPr>
            <w:tcW w:w="5098" w:type="dxa"/>
            <w:tcBorders>
              <w:left w:val="single" w:sz="12" w:space="0" w:color="auto"/>
            </w:tcBorders>
            <w:shd w:val="clear" w:color="auto" w:fill="auto"/>
          </w:tcPr>
          <w:p w14:paraId="38896F56" w14:textId="77777777" w:rsidR="00FD6DC6" w:rsidRPr="005E4531" w:rsidRDefault="00FD6DC6" w:rsidP="000C7B90">
            <w:r w:rsidRPr="005E4531">
              <w:t>Human Resource Management</w:t>
            </w:r>
          </w:p>
        </w:tc>
        <w:tc>
          <w:tcPr>
            <w:tcW w:w="851" w:type="dxa"/>
            <w:shd w:val="clear" w:color="auto" w:fill="auto"/>
            <w:vAlign w:val="center"/>
          </w:tcPr>
          <w:p w14:paraId="0B81024C" w14:textId="77777777" w:rsidR="00FD6DC6" w:rsidRPr="005E4531" w:rsidRDefault="00FD6DC6" w:rsidP="000C7B90">
            <w:pPr>
              <w:jc w:val="center"/>
            </w:pPr>
            <w:r w:rsidRPr="005E4531">
              <w:t>3</w:t>
            </w:r>
          </w:p>
        </w:tc>
        <w:tc>
          <w:tcPr>
            <w:tcW w:w="1417" w:type="dxa"/>
            <w:tcBorders>
              <w:right w:val="single" w:sz="12" w:space="0" w:color="auto"/>
            </w:tcBorders>
            <w:shd w:val="clear" w:color="auto" w:fill="auto"/>
            <w:vAlign w:val="center"/>
          </w:tcPr>
          <w:p w14:paraId="6F41DF18" w14:textId="77777777" w:rsidR="00FD6DC6" w:rsidRPr="005E4531" w:rsidRDefault="00FD6DC6" w:rsidP="000C7B90">
            <w:pPr>
              <w:jc w:val="center"/>
            </w:pPr>
            <w:r w:rsidRPr="005E4531">
              <w:sym w:font="Wingdings" w:char="F0E8"/>
            </w:r>
          </w:p>
        </w:tc>
      </w:tr>
      <w:tr w:rsidR="00FD6DC6" w:rsidRPr="005E4531" w14:paraId="4BC9DE14" w14:textId="77777777" w:rsidTr="000C7B90">
        <w:tc>
          <w:tcPr>
            <w:tcW w:w="5098" w:type="dxa"/>
            <w:tcBorders>
              <w:left w:val="single" w:sz="12" w:space="0" w:color="auto"/>
            </w:tcBorders>
            <w:shd w:val="clear" w:color="auto" w:fill="auto"/>
          </w:tcPr>
          <w:p w14:paraId="42B84EC7" w14:textId="77777777" w:rsidR="00FD6DC6" w:rsidRPr="005E4531" w:rsidRDefault="00FD6DC6" w:rsidP="000C7B90">
            <w:r w:rsidRPr="005E4531">
              <w:t>Financiële stabiliteit</w:t>
            </w:r>
          </w:p>
        </w:tc>
        <w:tc>
          <w:tcPr>
            <w:tcW w:w="851" w:type="dxa"/>
            <w:shd w:val="clear" w:color="auto" w:fill="auto"/>
            <w:vAlign w:val="center"/>
          </w:tcPr>
          <w:p w14:paraId="33B2F6D2" w14:textId="77777777" w:rsidR="00FD6DC6" w:rsidRPr="005E4531" w:rsidRDefault="00FD6DC6" w:rsidP="000C7B90">
            <w:pPr>
              <w:jc w:val="center"/>
            </w:pPr>
            <w:r w:rsidRPr="005E4531">
              <w:t>3</w:t>
            </w:r>
          </w:p>
        </w:tc>
        <w:tc>
          <w:tcPr>
            <w:tcW w:w="1417" w:type="dxa"/>
            <w:tcBorders>
              <w:right w:val="single" w:sz="12" w:space="0" w:color="auto"/>
            </w:tcBorders>
            <w:shd w:val="clear" w:color="auto" w:fill="auto"/>
            <w:vAlign w:val="center"/>
          </w:tcPr>
          <w:p w14:paraId="73B3978C" w14:textId="77777777" w:rsidR="00FD6DC6" w:rsidRPr="005E4531" w:rsidRDefault="00FD6DC6" w:rsidP="000C7B90">
            <w:pPr>
              <w:jc w:val="center"/>
            </w:pPr>
            <w:r w:rsidRPr="005E4531">
              <w:sym w:font="Wingdings" w:char="F0E8"/>
            </w:r>
          </w:p>
        </w:tc>
      </w:tr>
      <w:tr w:rsidR="00FD6DC6" w:rsidRPr="005E4531" w14:paraId="4B0F26B9" w14:textId="77777777" w:rsidTr="000C7B90">
        <w:tc>
          <w:tcPr>
            <w:tcW w:w="5098" w:type="dxa"/>
            <w:tcBorders>
              <w:left w:val="single" w:sz="12" w:space="0" w:color="auto"/>
            </w:tcBorders>
            <w:shd w:val="clear" w:color="auto" w:fill="auto"/>
          </w:tcPr>
          <w:p w14:paraId="1A5987CD" w14:textId="462D22D8" w:rsidR="00FD6DC6" w:rsidRPr="005E4531" w:rsidRDefault="00FD6DC6" w:rsidP="00CE707F">
            <w:r w:rsidRPr="005E4531">
              <w:t>Kosten</w:t>
            </w:r>
            <w:r w:rsidR="00CE707F">
              <w:t>reductie</w:t>
            </w:r>
          </w:p>
        </w:tc>
        <w:tc>
          <w:tcPr>
            <w:tcW w:w="851" w:type="dxa"/>
            <w:shd w:val="clear" w:color="auto" w:fill="auto"/>
            <w:vAlign w:val="center"/>
          </w:tcPr>
          <w:p w14:paraId="77BB717A" w14:textId="77777777" w:rsidR="00FD6DC6" w:rsidRPr="005E4531" w:rsidRDefault="00FD6DC6" w:rsidP="000C7B90">
            <w:pPr>
              <w:jc w:val="center"/>
            </w:pPr>
            <w:r w:rsidRPr="005E4531">
              <w:t>3</w:t>
            </w:r>
          </w:p>
        </w:tc>
        <w:tc>
          <w:tcPr>
            <w:tcW w:w="1417" w:type="dxa"/>
            <w:tcBorders>
              <w:right w:val="single" w:sz="12" w:space="0" w:color="auto"/>
            </w:tcBorders>
            <w:shd w:val="clear" w:color="auto" w:fill="auto"/>
            <w:vAlign w:val="center"/>
          </w:tcPr>
          <w:p w14:paraId="6CFD4363" w14:textId="77777777" w:rsidR="00FD6DC6" w:rsidRPr="005E4531" w:rsidRDefault="00FD6DC6" w:rsidP="000C7B90">
            <w:pPr>
              <w:jc w:val="center"/>
            </w:pPr>
            <w:r w:rsidRPr="005E4531">
              <w:sym w:font="Wingdings" w:char="F0E8"/>
            </w:r>
          </w:p>
        </w:tc>
      </w:tr>
      <w:tr w:rsidR="00FD6DC6" w:rsidRPr="005E4531" w14:paraId="0F08725A" w14:textId="77777777" w:rsidTr="000C7B90">
        <w:tc>
          <w:tcPr>
            <w:tcW w:w="5098" w:type="dxa"/>
            <w:tcBorders>
              <w:left w:val="single" w:sz="12" w:space="0" w:color="auto"/>
              <w:bottom w:val="single" w:sz="12" w:space="0" w:color="auto"/>
            </w:tcBorders>
            <w:shd w:val="clear" w:color="auto" w:fill="auto"/>
          </w:tcPr>
          <w:p w14:paraId="1F4D677E" w14:textId="77777777" w:rsidR="00FD6DC6" w:rsidRPr="005E4531" w:rsidRDefault="00FD6DC6" w:rsidP="000C7B90">
            <w:r w:rsidRPr="005E4531">
              <w:t>Corruptiebestrijding en accountability</w:t>
            </w:r>
          </w:p>
        </w:tc>
        <w:tc>
          <w:tcPr>
            <w:tcW w:w="851" w:type="dxa"/>
            <w:tcBorders>
              <w:bottom w:val="single" w:sz="12" w:space="0" w:color="auto"/>
            </w:tcBorders>
            <w:shd w:val="clear" w:color="auto" w:fill="auto"/>
            <w:vAlign w:val="center"/>
          </w:tcPr>
          <w:p w14:paraId="77880FE8" w14:textId="77777777" w:rsidR="00FD6DC6" w:rsidRPr="005E4531" w:rsidRDefault="00FD6DC6" w:rsidP="000C7B90">
            <w:pPr>
              <w:jc w:val="center"/>
            </w:pPr>
            <w:r w:rsidRPr="005E4531">
              <w:t>3</w:t>
            </w:r>
          </w:p>
        </w:tc>
        <w:tc>
          <w:tcPr>
            <w:tcW w:w="1417" w:type="dxa"/>
            <w:tcBorders>
              <w:bottom w:val="single" w:sz="12" w:space="0" w:color="auto"/>
              <w:right w:val="single" w:sz="12" w:space="0" w:color="auto"/>
            </w:tcBorders>
            <w:shd w:val="clear" w:color="auto" w:fill="auto"/>
            <w:vAlign w:val="center"/>
          </w:tcPr>
          <w:p w14:paraId="39D72DE5" w14:textId="77777777" w:rsidR="00FD6DC6" w:rsidRPr="005E4531" w:rsidRDefault="00FD6DC6" w:rsidP="000C7B90">
            <w:pPr>
              <w:jc w:val="center"/>
            </w:pPr>
            <w:r w:rsidRPr="005E4531">
              <w:sym w:font="Wingdings" w:char="F0E8"/>
            </w:r>
          </w:p>
        </w:tc>
      </w:tr>
    </w:tbl>
    <w:p w14:paraId="68202726" w14:textId="77777777" w:rsidR="00FD6DC6" w:rsidRDefault="00FD6DC6" w:rsidP="00FD6DC6">
      <w:pPr>
        <w:ind w:firstLine="227"/>
      </w:pPr>
      <w:bookmarkStart w:id="21" w:name="_Toc410397641"/>
    </w:p>
    <w:p w14:paraId="6CEE31B2" w14:textId="3FCE4B00" w:rsidR="00FD6DC6" w:rsidRPr="00193994" w:rsidRDefault="00FD6DC6" w:rsidP="00FD6DC6">
      <w:pPr>
        <w:ind w:firstLine="227"/>
      </w:pPr>
      <w:r w:rsidRPr="00193994">
        <w:t xml:space="preserve">Beoordeling: </w:t>
      </w:r>
      <w:r>
        <w:t>Onvoldoende = 1, Matig = 2, Voldoende = 3, Goed</w:t>
      </w:r>
      <w:r w:rsidRPr="00193994">
        <w:t xml:space="preserve"> = 4</w:t>
      </w:r>
    </w:p>
    <w:p w14:paraId="08F57AC5" w14:textId="77777777" w:rsidR="00FD6DC6" w:rsidRDefault="00FD6DC6" w:rsidP="00FD6DC6">
      <w:pPr>
        <w:ind w:firstLine="227"/>
      </w:pPr>
      <w:r w:rsidRPr="00193994">
        <w:t>Ver</w:t>
      </w:r>
      <w:r>
        <w:t>andering sinds 2015: Neutraal</w:t>
      </w:r>
      <w:r w:rsidRPr="00193994">
        <w:t xml:space="preserve"> = </w:t>
      </w:r>
      <w:r w:rsidRPr="00193994">
        <w:sym w:font="Wingdings" w:char="F0E8"/>
      </w:r>
      <w:r>
        <w:t xml:space="preserve">, Positief = </w:t>
      </w:r>
      <w:r w:rsidRPr="00193994">
        <w:sym w:font="Wingdings" w:char="F0E9"/>
      </w:r>
      <w:r>
        <w:t xml:space="preserve">, Negatief = </w:t>
      </w:r>
      <w:r w:rsidRPr="00DC2083">
        <w:rPr>
          <w:rFonts w:ascii="Segoe UI Emoji" w:eastAsia="Segoe UI Emoji" w:hAnsi="Segoe UI Emoji" w:cs="Segoe UI Emoji"/>
          <w:b/>
          <w:noProof/>
        </w:rPr>
        <w:sym w:font="Wingdings" w:char="F0EA"/>
      </w:r>
    </w:p>
    <w:p w14:paraId="4C7389D8" w14:textId="77777777" w:rsidR="00FD6DC6" w:rsidRPr="00164384" w:rsidRDefault="00FD6DC6" w:rsidP="00FD6DC6"/>
    <w:p w14:paraId="6E0C80F5" w14:textId="05A16140" w:rsidR="00FD6DC6" w:rsidRPr="005E4531" w:rsidRDefault="00FD6DC6" w:rsidP="00794FE6">
      <w:pPr>
        <w:pStyle w:val="Heading2"/>
        <w:tabs>
          <w:tab w:val="left" w:pos="-1162"/>
          <w:tab w:val="left" w:pos="0"/>
          <w:tab w:val="num" w:pos="1160"/>
        </w:tabs>
        <w:spacing w:line="240" w:lineRule="auto"/>
        <w:ind w:hanging="1162"/>
      </w:pPr>
      <w:bookmarkStart w:id="22" w:name="_Toc491259061"/>
      <w:r>
        <w:t>1</w:t>
      </w:r>
      <w:r w:rsidRPr="005E4531">
        <w:t xml:space="preserve">.2 </w:t>
      </w:r>
      <w:r w:rsidRPr="005E4531">
        <w:tab/>
        <w:t>Beleidsrelevantie</w:t>
      </w:r>
      <w:bookmarkEnd w:id="21"/>
      <w:bookmarkEnd w:id="22"/>
    </w:p>
    <w:p w14:paraId="7C20C625" w14:textId="472992A7" w:rsidR="00FD6DC6" w:rsidRPr="005E4531" w:rsidRDefault="00FD6DC6" w:rsidP="00FD6DC6">
      <w:r w:rsidRPr="005E4531">
        <w:t>OHCHR is van groot belang voor het Nederlandse mensenrechtenbeleid. Binnen de BHOS-prioriteiten concentreert de relevantie van OHCHR zich op de thema’s veiligheid en rechtsorde, gendergelijkheid en SRGR.</w:t>
      </w:r>
    </w:p>
    <w:p w14:paraId="105E6292" w14:textId="77777777" w:rsidR="00FD6DC6" w:rsidRPr="005E4531" w:rsidRDefault="00FD6DC6" w:rsidP="00FD6D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5"/>
        <w:gridCol w:w="31"/>
        <w:gridCol w:w="1803"/>
        <w:gridCol w:w="81"/>
        <w:gridCol w:w="1982"/>
        <w:gridCol w:w="1875"/>
      </w:tblGrid>
      <w:tr w:rsidR="00FD6DC6" w:rsidRPr="005E4531" w14:paraId="64E616F1" w14:textId="77777777" w:rsidTr="005105A1">
        <w:tc>
          <w:tcPr>
            <w:tcW w:w="1956" w:type="dxa"/>
            <w:gridSpan w:val="2"/>
            <w:tcBorders>
              <w:top w:val="single" w:sz="12" w:space="0" w:color="auto"/>
              <w:left w:val="single" w:sz="12" w:space="0" w:color="auto"/>
              <w:bottom w:val="single" w:sz="12" w:space="0" w:color="auto"/>
            </w:tcBorders>
            <w:shd w:val="clear" w:color="auto" w:fill="BFBFBF" w:themeFill="background1" w:themeFillShade="BF"/>
          </w:tcPr>
          <w:p w14:paraId="0FF82886" w14:textId="77777777" w:rsidR="00FD6DC6" w:rsidRPr="005E4531" w:rsidRDefault="00FD6DC6" w:rsidP="000C7B90">
            <w:pPr>
              <w:jc w:val="right"/>
            </w:pPr>
          </w:p>
        </w:tc>
        <w:tc>
          <w:tcPr>
            <w:tcW w:w="1884" w:type="dxa"/>
            <w:gridSpan w:val="2"/>
            <w:tcBorders>
              <w:top w:val="single" w:sz="12" w:space="0" w:color="auto"/>
              <w:bottom w:val="single" w:sz="12" w:space="0" w:color="auto"/>
            </w:tcBorders>
            <w:shd w:val="clear" w:color="auto" w:fill="BFBFBF" w:themeFill="background1" w:themeFillShade="BF"/>
          </w:tcPr>
          <w:p w14:paraId="3E3759F9" w14:textId="77777777" w:rsidR="00FD6DC6" w:rsidRPr="005E4531" w:rsidRDefault="00FD6DC6" w:rsidP="000C7B90">
            <w:pPr>
              <w:rPr>
                <w:b/>
              </w:rPr>
            </w:pPr>
            <w:r w:rsidRPr="005E4531">
              <w:rPr>
                <w:b/>
              </w:rPr>
              <w:t>Uitvoerend</w:t>
            </w:r>
          </w:p>
        </w:tc>
        <w:tc>
          <w:tcPr>
            <w:tcW w:w="1982" w:type="dxa"/>
            <w:tcBorders>
              <w:top w:val="single" w:sz="12" w:space="0" w:color="auto"/>
              <w:bottom w:val="single" w:sz="12" w:space="0" w:color="auto"/>
            </w:tcBorders>
            <w:shd w:val="clear" w:color="auto" w:fill="BFBFBF" w:themeFill="background1" w:themeFillShade="BF"/>
          </w:tcPr>
          <w:p w14:paraId="6C836F42" w14:textId="77777777" w:rsidR="00FD6DC6" w:rsidRPr="005E4531" w:rsidRDefault="00FD6DC6" w:rsidP="000C7B90">
            <w:pPr>
              <w:rPr>
                <w:b/>
              </w:rPr>
            </w:pPr>
            <w:r w:rsidRPr="005E4531">
              <w:rPr>
                <w:b/>
              </w:rPr>
              <w:t>Coördinerend</w:t>
            </w:r>
          </w:p>
        </w:tc>
        <w:tc>
          <w:tcPr>
            <w:tcW w:w="1875" w:type="dxa"/>
            <w:tcBorders>
              <w:top w:val="single" w:sz="12" w:space="0" w:color="auto"/>
              <w:right w:val="single" w:sz="12" w:space="0" w:color="auto"/>
            </w:tcBorders>
            <w:shd w:val="clear" w:color="auto" w:fill="BFBFBF" w:themeFill="background1" w:themeFillShade="BF"/>
          </w:tcPr>
          <w:p w14:paraId="095033F6" w14:textId="77777777" w:rsidR="00FD6DC6" w:rsidRPr="005E4531" w:rsidRDefault="00FD6DC6" w:rsidP="000C7B90">
            <w:pPr>
              <w:rPr>
                <w:b/>
              </w:rPr>
            </w:pPr>
            <w:r w:rsidRPr="005E4531">
              <w:rPr>
                <w:b/>
              </w:rPr>
              <w:t>Normatief</w:t>
            </w:r>
          </w:p>
        </w:tc>
      </w:tr>
      <w:tr w:rsidR="00FD6DC6" w:rsidRPr="005E4531" w14:paraId="30C0B063" w14:textId="77777777" w:rsidTr="005105A1">
        <w:tc>
          <w:tcPr>
            <w:tcW w:w="7697" w:type="dxa"/>
            <w:gridSpan w:val="6"/>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44F2C6C8" w14:textId="5E3F5D78" w:rsidR="00FD6DC6" w:rsidRPr="005E4531" w:rsidRDefault="005105A1" w:rsidP="005105A1">
            <w:pPr>
              <w:rPr>
                <w:b/>
              </w:rPr>
            </w:pPr>
            <w:r>
              <w:rPr>
                <w:b/>
              </w:rPr>
              <w:t>R</w:t>
            </w:r>
            <w:r w:rsidR="00FD6DC6" w:rsidRPr="005E4531">
              <w:rPr>
                <w:b/>
              </w:rPr>
              <w:t>elevantie voor de Nederlandse BHOS-prioriteiten</w:t>
            </w:r>
          </w:p>
        </w:tc>
      </w:tr>
      <w:tr w:rsidR="00FD6DC6" w:rsidRPr="005E4531" w14:paraId="3128117A" w14:textId="77777777" w:rsidTr="00FD6DC6">
        <w:tc>
          <w:tcPr>
            <w:tcW w:w="1956" w:type="dxa"/>
            <w:gridSpan w:val="2"/>
            <w:tcBorders>
              <w:top w:val="single" w:sz="12" w:space="0" w:color="auto"/>
              <w:left w:val="single" w:sz="12" w:space="0" w:color="auto"/>
            </w:tcBorders>
            <w:shd w:val="clear" w:color="auto" w:fill="auto"/>
          </w:tcPr>
          <w:p w14:paraId="6B3B959C" w14:textId="77777777" w:rsidR="00FD6DC6" w:rsidRPr="005E4531" w:rsidRDefault="00FD6DC6" w:rsidP="000C7B90">
            <w:r w:rsidRPr="005E4531">
              <w:t>Veiligheid en rechtsorde</w:t>
            </w:r>
          </w:p>
        </w:tc>
        <w:tc>
          <w:tcPr>
            <w:tcW w:w="1884" w:type="dxa"/>
            <w:gridSpan w:val="2"/>
            <w:tcBorders>
              <w:top w:val="single" w:sz="12" w:space="0" w:color="auto"/>
            </w:tcBorders>
            <w:shd w:val="clear" w:color="auto" w:fill="auto"/>
          </w:tcPr>
          <w:p w14:paraId="67E78518" w14:textId="77777777" w:rsidR="00FD6DC6" w:rsidRPr="005E4531" w:rsidRDefault="00FD6DC6" w:rsidP="000C7B90"/>
        </w:tc>
        <w:tc>
          <w:tcPr>
            <w:tcW w:w="1982" w:type="dxa"/>
            <w:tcBorders>
              <w:top w:val="single" w:sz="12" w:space="0" w:color="auto"/>
            </w:tcBorders>
            <w:shd w:val="clear" w:color="auto" w:fill="auto"/>
          </w:tcPr>
          <w:p w14:paraId="37E9DAA3" w14:textId="77777777" w:rsidR="00FD6DC6" w:rsidRPr="005E4531" w:rsidRDefault="00FD6DC6" w:rsidP="000C7B90"/>
        </w:tc>
        <w:tc>
          <w:tcPr>
            <w:tcW w:w="1875" w:type="dxa"/>
            <w:tcBorders>
              <w:top w:val="single" w:sz="12" w:space="0" w:color="auto"/>
              <w:right w:val="single" w:sz="12" w:space="0" w:color="auto"/>
            </w:tcBorders>
            <w:shd w:val="clear" w:color="auto" w:fill="auto"/>
          </w:tcPr>
          <w:p w14:paraId="21756ECA" w14:textId="77777777" w:rsidR="00FD6DC6" w:rsidRPr="005E4531" w:rsidRDefault="00FD6DC6" w:rsidP="000C7B90">
            <w:r w:rsidRPr="005E4531">
              <w:t>4</w:t>
            </w:r>
          </w:p>
        </w:tc>
      </w:tr>
      <w:tr w:rsidR="00FD6DC6" w:rsidRPr="005E4531" w14:paraId="4F17B6DF" w14:textId="77777777" w:rsidTr="00FD6DC6">
        <w:tc>
          <w:tcPr>
            <w:tcW w:w="1956" w:type="dxa"/>
            <w:gridSpan w:val="2"/>
            <w:tcBorders>
              <w:left w:val="single" w:sz="12" w:space="0" w:color="auto"/>
            </w:tcBorders>
            <w:shd w:val="clear" w:color="auto" w:fill="auto"/>
          </w:tcPr>
          <w:p w14:paraId="6EBE9D18" w14:textId="180E4FA9" w:rsidR="00FD6DC6" w:rsidRPr="005E4531" w:rsidRDefault="00FD6DC6" w:rsidP="000C7B90">
            <w:r w:rsidRPr="005E4531">
              <w:t>SRGR</w:t>
            </w:r>
          </w:p>
        </w:tc>
        <w:tc>
          <w:tcPr>
            <w:tcW w:w="1884" w:type="dxa"/>
            <w:gridSpan w:val="2"/>
            <w:shd w:val="clear" w:color="auto" w:fill="auto"/>
          </w:tcPr>
          <w:p w14:paraId="219D8394" w14:textId="77777777" w:rsidR="00FD6DC6" w:rsidRPr="005E4531" w:rsidRDefault="00FD6DC6" w:rsidP="000C7B90"/>
        </w:tc>
        <w:tc>
          <w:tcPr>
            <w:tcW w:w="1982" w:type="dxa"/>
            <w:shd w:val="clear" w:color="auto" w:fill="auto"/>
          </w:tcPr>
          <w:p w14:paraId="32CD80EF" w14:textId="77777777" w:rsidR="00FD6DC6" w:rsidRPr="005E4531" w:rsidRDefault="00FD6DC6" w:rsidP="000C7B90"/>
        </w:tc>
        <w:tc>
          <w:tcPr>
            <w:tcW w:w="1875" w:type="dxa"/>
            <w:tcBorders>
              <w:right w:val="single" w:sz="12" w:space="0" w:color="auto"/>
            </w:tcBorders>
            <w:shd w:val="clear" w:color="auto" w:fill="auto"/>
          </w:tcPr>
          <w:p w14:paraId="10D82532" w14:textId="77777777" w:rsidR="00FD6DC6" w:rsidRPr="005E4531" w:rsidRDefault="00FD6DC6" w:rsidP="000C7B90">
            <w:r w:rsidRPr="005E4531">
              <w:t>4</w:t>
            </w:r>
          </w:p>
        </w:tc>
      </w:tr>
      <w:tr w:rsidR="00FD6DC6" w:rsidRPr="005E4531" w14:paraId="185DD3F8" w14:textId="77777777" w:rsidTr="00FD6DC6">
        <w:tc>
          <w:tcPr>
            <w:tcW w:w="1956" w:type="dxa"/>
            <w:gridSpan w:val="2"/>
            <w:tcBorders>
              <w:left w:val="single" w:sz="12" w:space="0" w:color="auto"/>
              <w:bottom w:val="single" w:sz="12" w:space="0" w:color="auto"/>
            </w:tcBorders>
            <w:shd w:val="clear" w:color="auto" w:fill="auto"/>
          </w:tcPr>
          <w:p w14:paraId="3D16021E" w14:textId="309939E8" w:rsidR="00FD6DC6" w:rsidRPr="005E4531" w:rsidRDefault="00FD6DC6" w:rsidP="000C7B90">
            <w:r w:rsidRPr="005E4531">
              <w:t>Gendergelijkheid</w:t>
            </w:r>
          </w:p>
        </w:tc>
        <w:tc>
          <w:tcPr>
            <w:tcW w:w="1884" w:type="dxa"/>
            <w:gridSpan w:val="2"/>
            <w:tcBorders>
              <w:bottom w:val="single" w:sz="12" w:space="0" w:color="auto"/>
            </w:tcBorders>
            <w:shd w:val="clear" w:color="auto" w:fill="auto"/>
          </w:tcPr>
          <w:p w14:paraId="105C1F8E" w14:textId="77777777" w:rsidR="00FD6DC6" w:rsidRPr="005E4531" w:rsidRDefault="00FD6DC6" w:rsidP="000C7B90"/>
        </w:tc>
        <w:tc>
          <w:tcPr>
            <w:tcW w:w="1982" w:type="dxa"/>
            <w:tcBorders>
              <w:bottom w:val="single" w:sz="12" w:space="0" w:color="auto"/>
            </w:tcBorders>
            <w:shd w:val="clear" w:color="auto" w:fill="auto"/>
          </w:tcPr>
          <w:p w14:paraId="39333838" w14:textId="77777777" w:rsidR="00FD6DC6" w:rsidRPr="005E4531" w:rsidRDefault="00FD6DC6" w:rsidP="000C7B90">
            <w:r w:rsidRPr="005E4531">
              <w:t>4</w:t>
            </w:r>
          </w:p>
        </w:tc>
        <w:tc>
          <w:tcPr>
            <w:tcW w:w="1875" w:type="dxa"/>
            <w:tcBorders>
              <w:bottom w:val="single" w:sz="12" w:space="0" w:color="auto"/>
              <w:right w:val="single" w:sz="12" w:space="0" w:color="auto"/>
            </w:tcBorders>
            <w:shd w:val="clear" w:color="auto" w:fill="auto"/>
          </w:tcPr>
          <w:p w14:paraId="7D008791" w14:textId="77777777" w:rsidR="00FD6DC6" w:rsidRPr="005E4531" w:rsidRDefault="00FD6DC6" w:rsidP="000C7B90">
            <w:r w:rsidRPr="005E4531">
              <w:t>4</w:t>
            </w:r>
          </w:p>
        </w:tc>
      </w:tr>
      <w:tr w:rsidR="00FD6DC6" w:rsidRPr="005E4531" w14:paraId="115E3102" w14:textId="77777777" w:rsidTr="005105A1">
        <w:trPr>
          <w:trHeight w:val="271"/>
        </w:trPr>
        <w:tc>
          <w:tcPr>
            <w:tcW w:w="7697" w:type="dxa"/>
            <w:gridSpan w:val="6"/>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3623AADA" w14:textId="63BD1359" w:rsidR="00FD6DC6" w:rsidRPr="005E4531" w:rsidRDefault="00FD6DC6" w:rsidP="005105A1">
            <w:r w:rsidRPr="005E4531">
              <w:rPr>
                <w:b/>
              </w:rPr>
              <w:t>Overige relevantie</w:t>
            </w:r>
          </w:p>
        </w:tc>
      </w:tr>
      <w:tr w:rsidR="00FD6DC6" w:rsidRPr="005E4531" w14:paraId="197B7DD9" w14:textId="77777777" w:rsidTr="00F63269">
        <w:tc>
          <w:tcPr>
            <w:tcW w:w="1925" w:type="dxa"/>
            <w:tcBorders>
              <w:top w:val="single" w:sz="12" w:space="0" w:color="auto"/>
              <w:left w:val="single" w:sz="12" w:space="0" w:color="auto"/>
              <w:bottom w:val="single" w:sz="12" w:space="0" w:color="auto"/>
            </w:tcBorders>
            <w:shd w:val="clear" w:color="auto" w:fill="auto"/>
          </w:tcPr>
          <w:p w14:paraId="658ADBF6" w14:textId="77777777" w:rsidR="00FD6DC6" w:rsidRPr="005E4531" w:rsidRDefault="00FD6DC6" w:rsidP="000C7B90">
            <w:r w:rsidRPr="005E4531">
              <w:t>Bescherming Mensenrechten</w:t>
            </w:r>
          </w:p>
        </w:tc>
        <w:tc>
          <w:tcPr>
            <w:tcW w:w="1834" w:type="dxa"/>
            <w:gridSpan w:val="2"/>
            <w:tcBorders>
              <w:top w:val="single" w:sz="12" w:space="0" w:color="auto"/>
              <w:bottom w:val="single" w:sz="12" w:space="0" w:color="auto"/>
            </w:tcBorders>
            <w:shd w:val="clear" w:color="auto" w:fill="auto"/>
          </w:tcPr>
          <w:p w14:paraId="1B255C16" w14:textId="77777777" w:rsidR="00FD6DC6" w:rsidRPr="005E4531" w:rsidRDefault="00FD6DC6" w:rsidP="000C7B90">
            <w:r w:rsidRPr="005E4531">
              <w:t>4</w:t>
            </w:r>
          </w:p>
        </w:tc>
        <w:tc>
          <w:tcPr>
            <w:tcW w:w="2063" w:type="dxa"/>
            <w:gridSpan w:val="2"/>
            <w:tcBorders>
              <w:top w:val="single" w:sz="12" w:space="0" w:color="auto"/>
              <w:bottom w:val="single" w:sz="12" w:space="0" w:color="auto"/>
            </w:tcBorders>
            <w:shd w:val="clear" w:color="auto" w:fill="auto"/>
          </w:tcPr>
          <w:p w14:paraId="034A8B2B" w14:textId="77777777" w:rsidR="00FD6DC6" w:rsidRPr="005E4531" w:rsidRDefault="00FD6DC6" w:rsidP="000C7B90"/>
        </w:tc>
        <w:tc>
          <w:tcPr>
            <w:tcW w:w="1875" w:type="dxa"/>
            <w:tcBorders>
              <w:top w:val="single" w:sz="12" w:space="0" w:color="auto"/>
              <w:bottom w:val="single" w:sz="12" w:space="0" w:color="auto"/>
              <w:right w:val="single" w:sz="12" w:space="0" w:color="auto"/>
            </w:tcBorders>
            <w:shd w:val="clear" w:color="auto" w:fill="auto"/>
          </w:tcPr>
          <w:p w14:paraId="5DC9958F" w14:textId="77777777" w:rsidR="00FD6DC6" w:rsidRPr="005E4531" w:rsidRDefault="00FD6DC6" w:rsidP="000C7B90">
            <w:r w:rsidRPr="005E4531">
              <w:t>4</w:t>
            </w:r>
          </w:p>
        </w:tc>
      </w:tr>
    </w:tbl>
    <w:p w14:paraId="51995854" w14:textId="77777777" w:rsidR="00FD6DC6" w:rsidRDefault="00FD6DC6" w:rsidP="00FD6DC6">
      <w:pPr>
        <w:ind w:firstLine="227"/>
      </w:pPr>
    </w:p>
    <w:p w14:paraId="5CCB76C0" w14:textId="7D877B7D" w:rsidR="00FD6DC6" w:rsidRPr="00193994" w:rsidRDefault="00FD6DC6" w:rsidP="00FD6DC6">
      <w:pPr>
        <w:ind w:firstLine="227"/>
      </w:pPr>
      <w:r w:rsidRPr="00193994">
        <w:t xml:space="preserve">Beoordeling: </w:t>
      </w:r>
      <w:r>
        <w:t>Onvoldoende = 1, Matig = 2, Voldoende = 3, Goed</w:t>
      </w:r>
      <w:r w:rsidRPr="00193994">
        <w:t xml:space="preserve"> = 4</w:t>
      </w:r>
    </w:p>
    <w:p w14:paraId="04978383" w14:textId="148D42F2" w:rsidR="00FD6DC6" w:rsidRDefault="00FD6DC6" w:rsidP="00FD6DC6">
      <w:pPr>
        <w:ind w:firstLine="227"/>
      </w:pPr>
    </w:p>
    <w:p w14:paraId="4D97493B" w14:textId="31B4E38F" w:rsidR="00B95FC2" w:rsidRPr="00734374" w:rsidRDefault="00FD6DC6" w:rsidP="00734374">
      <w:pPr>
        <w:pStyle w:val="Heading1"/>
        <w:tabs>
          <w:tab w:val="num" w:pos="0"/>
        </w:tabs>
        <w:spacing w:after="240" w:line="240" w:lineRule="auto"/>
        <w:ind w:hanging="1162"/>
      </w:pPr>
      <w:bookmarkStart w:id="23" w:name="_Toc491259062"/>
      <w:r>
        <w:lastRenderedPageBreak/>
        <w:t>2</w:t>
      </w:r>
      <w:r w:rsidR="00734374" w:rsidRPr="00734374">
        <w:t xml:space="preserve"> </w:t>
      </w:r>
      <w:r w:rsidR="00734374">
        <w:tab/>
      </w:r>
      <w:r w:rsidR="00AD0CCB" w:rsidRPr="00734374">
        <w:t>Inleiding</w:t>
      </w:r>
      <w:bookmarkEnd w:id="20"/>
      <w:bookmarkEnd w:id="23"/>
    </w:p>
    <w:p w14:paraId="4D97493D" w14:textId="488ECE26" w:rsidR="005D3322" w:rsidRDefault="005150FC" w:rsidP="005150FC">
      <w:pPr>
        <w:shd w:val="clear" w:color="auto" w:fill="FFFFFF"/>
        <w:spacing w:before="100" w:beforeAutospacing="1" w:after="100" w:afterAutospacing="1" w:line="240" w:lineRule="auto"/>
        <w:rPr>
          <w:szCs w:val="18"/>
          <w:lang w:eastAsia="zh-CN"/>
        </w:rPr>
      </w:pPr>
      <w:r>
        <w:rPr>
          <w:szCs w:val="18"/>
          <w:lang w:eastAsia="zh-CN"/>
        </w:rPr>
        <w:t xml:space="preserve">Scorecards worden opgesteld om het functioneren en de beleidsrelevantie van multilaterale organisaties in kaart te brengen. </w:t>
      </w:r>
      <w:r w:rsidR="00710978">
        <w:rPr>
          <w:szCs w:val="18"/>
          <w:lang w:eastAsia="zh-CN"/>
        </w:rPr>
        <w:t>D</w:t>
      </w:r>
      <w:r>
        <w:rPr>
          <w:szCs w:val="18"/>
          <w:lang w:eastAsia="zh-CN"/>
        </w:rPr>
        <w:t>e Nederlandse inzet in multilaterale organisaties word</w:t>
      </w:r>
      <w:r w:rsidR="00710978">
        <w:rPr>
          <w:szCs w:val="18"/>
          <w:lang w:eastAsia="zh-CN"/>
        </w:rPr>
        <w:t>t</w:t>
      </w:r>
      <w:r>
        <w:rPr>
          <w:szCs w:val="18"/>
          <w:lang w:eastAsia="zh-CN"/>
        </w:rPr>
        <w:t xml:space="preserve"> geconcentreerd op organ</w:t>
      </w:r>
      <w:r w:rsidR="007E1149">
        <w:rPr>
          <w:szCs w:val="18"/>
          <w:lang w:eastAsia="zh-CN"/>
        </w:rPr>
        <w:t xml:space="preserve">isaties </w:t>
      </w:r>
      <w:r w:rsidR="00A71A15">
        <w:rPr>
          <w:szCs w:val="18"/>
          <w:lang w:eastAsia="zh-CN"/>
        </w:rPr>
        <w:t xml:space="preserve">die effectief zijn en </w:t>
      </w:r>
      <w:r w:rsidR="007E1149">
        <w:rPr>
          <w:szCs w:val="18"/>
          <w:lang w:eastAsia="zh-CN"/>
        </w:rPr>
        <w:t>die relevant zijn voor</w:t>
      </w:r>
      <w:r>
        <w:rPr>
          <w:szCs w:val="18"/>
          <w:lang w:eastAsia="zh-CN"/>
        </w:rPr>
        <w:t xml:space="preserve"> het Nederlandse beleid</w:t>
      </w:r>
      <w:r w:rsidR="000C082E">
        <w:rPr>
          <w:szCs w:val="18"/>
          <w:lang w:eastAsia="zh-CN"/>
        </w:rPr>
        <w:t xml:space="preserve">, </w:t>
      </w:r>
      <w:r w:rsidR="00456C9B">
        <w:rPr>
          <w:szCs w:val="18"/>
          <w:lang w:eastAsia="zh-CN"/>
        </w:rPr>
        <w:t>of</w:t>
      </w:r>
      <w:r w:rsidR="000C082E">
        <w:rPr>
          <w:szCs w:val="18"/>
          <w:lang w:eastAsia="zh-CN"/>
        </w:rPr>
        <w:t xml:space="preserve"> een sleutelrol vervullen binnen de multilaterale architectuur als </w:t>
      </w:r>
      <w:r w:rsidR="00125028">
        <w:rPr>
          <w:szCs w:val="18"/>
          <w:lang w:eastAsia="zh-CN"/>
        </w:rPr>
        <w:t>“</w:t>
      </w:r>
      <w:r w:rsidR="000C082E">
        <w:rPr>
          <w:szCs w:val="18"/>
          <w:lang w:eastAsia="zh-CN"/>
        </w:rPr>
        <w:t>systeemorganisatie</w:t>
      </w:r>
      <w:r w:rsidR="00125028">
        <w:rPr>
          <w:szCs w:val="18"/>
          <w:lang w:eastAsia="zh-CN"/>
        </w:rPr>
        <w:t>”</w:t>
      </w:r>
      <w:r w:rsidR="000C082E">
        <w:rPr>
          <w:szCs w:val="18"/>
          <w:lang w:eastAsia="zh-CN"/>
        </w:rPr>
        <w:t xml:space="preserve">. </w:t>
      </w:r>
      <w:r w:rsidR="00967346">
        <w:rPr>
          <w:szCs w:val="18"/>
          <w:lang w:eastAsia="zh-CN"/>
        </w:rPr>
        <w:t>Dit vraagt om</w:t>
      </w:r>
      <w:r>
        <w:rPr>
          <w:szCs w:val="18"/>
          <w:lang w:eastAsia="zh-CN"/>
        </w:rPr>
        <w:t xml:space="preserve"> zorgvuldige en regelmatige toetsing. </w:t>
      </w:r>
      <w:r w:rsidR="005D3322">
        <w:rPr>
          <w:szCs w:val="18"/>
          <w:lang w:eastAsia="zh-CN"/>
        </w:rPr>
        <w:t>Het streven is om scorecards</w:t>
      </w:r>
      <w:r w:rsidR="00DB2280">
        <w:rPr>
          <w:szCs w:val="18"/>
          <w:lang w:eastAsia="zh-CN"/>
        </w:rPr>
        <w:t xml:space="preserve"> op te stellen voor de</w:t>
      </w:r>
      <w:r w:rsidR="005D3322">
        <w:rPr>
          <w:szCs w:val="18"/>
          <w:lang w:eastAsia="zh-CN"/>
        </w:rPr>
        <w:t xml:space="preserve"> </w:t>
      </w:r>
      <w:r w:rsidR="00A2455B">
        <w:rPr>
          <w:szCs w:val="18"/>
          <w:lang w:eastAsia="zh-CN"/>
        </w:rPr>
        <w:t xml:space="preserve">VN Fondsen en </w:t>
      </w:r>
      <w:r w:rsidR="00223E42">
        <w:rPr>
          <w:szCs w:val="18"/>
          <w:lang w:eastAsia="zh-CN"/>
        </w:rPr>
        <w:t xml:space="preserve">Programma’s, </w:t>
      </w:r>
      <w:r w:rsidR="003B4CB4">
        <w:rPr>
          <w:szCs w:val="18"/>
          <w:lang w:eastAsia="zh-CN"/>
        </w:rPr>
        <w:t xml:space="preserve">de Internationale </w:t>
      </w:r>
      <w:r w:rsidR="00F613E9">
        <w:rPr>
          <w:szCs w:val="18"/>
          <w:lang w:eastAsia="zh-CN"/>
        </w:rPr>
        <w:t>Financiële</w:t>
      </w:r>
      <w:r w:rsidR="003B4CB4">
        <w:rPr>
          <w:szCs w:val="18"/>
          <w:lang w:eastAsia="zh-CN"/>
        </w:rPr>
        <w:t xml:space="preserve"> Instellingen</w:t>
      </w:r>
      <w:r w:rsidR="00342BBB">
        <w:rPr>
          <w:szCs w:val="18"/>
          <w:lang w:eastAsia="zh-CN"/>
        </w:rPr>
        <w:t xml:space="preserve"> (IFI’s)</w:t>
      </w:r>
      <w:r w:rsidR="003B4CB4">
        <w:rPr>
          <w:szCs w:val="18"/>
          <w:lang w:eastAsia="zh-CN"/>
        </w:rPr>
        <w:t xml:space="preserve">, </w:t>
      </w:r>
      <w:r w:rsidR="00223E42">
        <w:rPr>
          <w:szCs w:val="18"/>
          <w:lang w:eastAsia="zh-CN"/>
        </w:rPr>
        <w:t xml:space="preserve">de voor Nederlands </w:t>
      </w:r>
      <w:r w:rsidR="00342BBB">
        <w:rPr>
          <w:szCs w:val="18"/>
          <w:lang w:eastAsia="zh-CN"/>
        </w:rPr>
        <w:t>beleid voor Buitenlandse Handel en Ontwikkelingssamenwerking</w:t>
      </w:r>
      <w:r w:rsidR="00FD6DC6">
        <w:rPr>
          <w:szCs w:val="18"/>
          <w:lang w:eastAsia="zh-CN"/>
        </w:rPr>
        <w:t>-relevante</w:t>
      </w:r>
      <w:r w:rsidR="00342BBB">
        <w:rPr>
          <w:szCs w:val="18"/>
          <w:lang w:eastAsia="zh-CN"/>
        </w:rPr>
        <w:t xml:space="preserve"> (BHOS)</w:t>
      </w:r>
      <w:r w:rsidR="00223E42">
        <w:rPr>
          <w:szCs w:val="18"/>
          <w:lang w:eastAsia="zh-CN"/>
        </w:rPr>
        <w:t xml:space="preserve"> gespecialiseerde VN-organisaties en kantoren, en de majeure wereldwijde fondsen</w:t>
      </w:r>
      <w:r w:rsidR="00A37B8E">
        <w:rPr>
          <w:szCs w:val="18"/>
          <w:lang w:eastAsia="zh-CN"/>
        </w:rPr>
        <w:t>;</w:t>
      </w:r>
      <w:r w:rsidR="00223E42">
        <w:rPr>
          <w:szCs w:val="18"/>
          <w:lang w:eastAsia="zh-CN"/>
        </w:rPr>
        <w:t xml:space="preserve"> </w:t>
      </w:r>
      <w:r w:rsidR="005D3322">
        <w:rPr>
          <w:szCs w:val="18"/>
          <w:lang w:eastAsia="zh-CN"/>
        </w:rPr>
        <w:t xml:space="preserve">multilaterale organisaties waaraan Nederland een substantiële ODA-bijdrage levert. De relevantie wordt primair getoetst aan het Nederlandse beleid voor </w:t>
      </w:r>
      <w:r w:rsidR="00342BBB">
        <w:rPr>
          <w:szCs w:val="18"/>
          <w:lang w:eastAsia="zh-CN"/>
        </w:rPr>
        <w:t>BHOS</w:t>
      </w:r>
      <w:r w:rsidR="00CF0A55">
        <w:rPr>
          <w:szCs w:val="18"/>
          <w:lang w:eastAsia="zh-CN"/>
        </w:rPr>
        <w:t>,</w:t>
      </w:r>
      <w:r w:rsidR="005D3322">
        <w:rPr>
          <w:szCs w:val="18"/>
          <w:lang w:eastAsia="zh-CN"/>
        </w:rPr>
        <w:t xml:space="preserve"> maar de bredere betekenis van multilaterale instellingen voor andere aspecten van Nederlands beleid wordt </w:t>
      </w:r>
      <w:r w:rsidR="00A8630D">
        <w:rPr>
          <w:szCs w:val="18"/>
          <w:lang w:eastAsia="zh-CN"/>
        </w:rPr>
        <w:t>waar relevant</w:t>
      </w:r>
      <w:r w:rsidR="005D3322">
        <w:rPr>
          <w:szCs w:val="18"/>
          <w:lang w:eastAsia="zh-CN"/>
        </w:rPr>
        <w:t xml:space="preserve"> meegenomen.</w:t>
      </w:r>
    </w:p>
    <w:p w14:paraId="4D97493E" w14:textId="77777777" w:rsidR="005150FC" w:rsidRPr="00307981" w:rsidRDefault="005150FC" w:rsidP="005150FC">
      <w:pPr>
        <w:shd w:val="clear" w:color="auto" w:fill="FFFFFF"/>
        <w:spacing w:before="100" w:beforeAutospacing="1" w:after="100" w:afterAutospacing="1" w:line="240" w:lineRule="auto"/>
        <w:rPr>
          <w:szCs w:val="18"/>
          <w:lang w:eastAsia="zh-CN"/>
        </w:rPr>
      </w:pPr>
      <w:r>
        <w:rPr>
          <w:szCs w:val="18"/>
          <w:lang w:eastAsia="zh-CN"/>
        </w:rPr>
        <w:t>Elke</w:t>
      </w:r>
      <w:r w:rsidRPr="00307981">
        <w:rPr>
          <w:szCs w:val="18"/>
          <w:lang w:eastAsia="zh-CN"/>
        </w:rPr>
        <w:t xml:space="preserve"> scorecard ge</w:t>
      </w:r>
      <w:r>
        <w:rPr>
          <w:szCs w:val="18"/>
          <w:lang w:eastAsia="zh-CN"/>
        </w:rPr>
        <w:t>eft</w:t>
      </w:r>
      <w:r w:rsidRPr="00307981">
        <w:rPr>
          <w:szCs w:val="18"/>
          <w:lang w:eastAsia="zh-CN"/>
        </w:rPr>
        <w:t xml:space="preserve"> een overzicht van de doelstellingen</w:t>
      </w:r>
      <w:r w:rsidR="00C1320B">
        <w:rPr>
          <w:szCs w:val="18"/>
          <w:lang w:eastAsia="zh-CN"/>
        </w:rPr>
        <w:t>,</w:t>
      </w:r>
      <w:r w:rsidRPr="00307981">
        <w:rPr>
          <w:szCs w:val="18"/>
          <w:lang w:eastAsia="zh-CN"/>
        </w:rPr>
        <w:t xml:space="preserve"> het mandaat </w:t>
      </w:r>
      <w:r w:rsidR="00C1320B">
        <w:rPr>
          <w:szCs w:val="18"/>
          <w:lang w:eastAsia="zh-CN"/>
        </w:rPr>
        <w:t xml:space="preserve">en de kernkwaliteiten </w:t>
      </w:r>
      <w:r w:rsidR="006569DB">
        <w:rPr>
          <w:szCs w:val="18"/>
          <w:lang w:eastAsia="zh-CN"/>
        </w:rPr>
        <w:t xml:space="preserve">van de </w:t>
      </w:r>
      <w:r w:rsidRPr="00307981">
        <w:rPr>
          <w:szCs w:val="18"/>
          <w:lang w:eastAsia="zh-CN"/>
        </w:rPr>
        <w:t xml:space="preserve">betreffende internationale </w:t>
      </w:r>
      <w:r>
        <w:rPr>
          <w:szCs w:val="18"/>
          <w:lang w:eastAsia="zh-CN"/>
        </w:rPr>
        <w:t>instelling</w:t>
      </w:r>
      <w:r w:rsidRPr="00307981">
        <w:rPr>
          <w:szCs w:val="18"/>
          <w:lang w:eastAsia="zh-CN"/>
        </w:rPr>
        <w:t xml:space="preserve">, van de wijze waarop de organisatie </w:t>
      </w:r>
      <w:r>
        <w:rPr>
          <w:szCs w:val="18"/>
          <w:lang w:eastAsia="zh-CN"/>
        </w:rPr>
        <w:t>is ingericht en welke activiteiten ze</w:t>
      </w:r>
      <w:r w:rsidRPr="00307981">
        <w:rPr>
          <w:szCs w:val="18"/>
          <w:lang w:eastAsia="zh-CN"/>
        </w:rPr>
        <w:t xml:space="preserve"> uitvoert, van de financiële omvang en de Nederlandse bijdragen</w:t>
      </w:r>
      <w:r>
        <w:rPr>
          <w:szCs w:val="18"/>
          <w:lang w:eastAsia="zh-CN"/>
        </w:rPr>
        <w:t>. Op basis van een analyse van de verschillende deelaspecten wordt een</w:t>
      </w:r>
      <w:r w:rsidRPr="00307981">
        <w:rPr>
          <w:szCs w:val="18"/>
          <w:lang w:eastAsia="zh-CN"/>
        </w:rPr>
        <w:t xml:space="preserve"> appreciatie </w:t>
      </w:r>
      <w:r>
        <w:rPr>
          <w:szCs w:val="18"/>
          <w:lang w:eastAsia="zh-CN"/>
        </w:rPr>
        <w:t xml:space="preserve">gegeven </w:t>
      </w:r>
      <w:r w:rsidRPr="00307981">
        <w:rPr>
          <w:szCs w:val="18"/>
          <w:lang w:eastAsia="zh-CN"/>
        </w:rPr>
        <w:t xml:space="preserve">van de </w:t>
      </w:r>
      <w:r w:rsidR="008735BA">
        <w:rPr>
          <w:szCs w:val="18"/>
          <w:lang w:eastAsia="zh-CN"/>
        </w:rPr>
        <w:t xml:space="preserve">organisatorische </w:t>
      </w:r>
      <w:r w:rsidR="00AB5963">
        <w:rPr>
          <w:szCs w:val="18"/>
          <w:lang w:eastAsia="zh-CN"/>
        </w:rPr>
        <w:t>effectiviteit</w:t>
      </w:r>
      <w:r w:rsidRPr="00307981">
        <w:rPr>
          <w:szCs w:val="18"/>
          <w:lang w:eastAsia="zh-CN"/>
        </w:rPr>
        <w:t xml:space="preserve"> en van de relevantie </w:t>
      </w:r>
      <w:r w:rsidR="00456A79">
        <w:rPr>
          <w:szCs w:val="18"/>
          <w:lang w:eastAsia="zh-CN"/>
        </w:rPr>
        <w:t xml:space="preserve">voor </w:t>
      </w:r>
      <w:r w:rsidRPr="00307981">
        <w:rPr>
          <w:szCs w:val="18"/>
          <w:lang w:eastAsia="zh-CN"/>
        </w:rPr>
        <w:t>de Nederlandse beleidsdoelstellingen.</w:t>
      </w:r>
      <w:r w:rsidR="005D3322">
        <w:rPr>
          <w:szCs w:val="18"/>
          <w:lang w:eastAsia="zh-CN"/>
        </w:rPr>
        <w:t xml:space="preserve"> </w:t>
      </w:r>
      <w:r w:rsidR="00F3652C">
        <w:rPr>
          <w:szCs w:val="18"/>
          <w:lang w:eastAsia="zh-CN"/>
        </w:rPr>
        <w:t xml:space="preserve">Er </w:t>
      </w:r>
      <w:r w:rsidR="00BB7ABD">
        <w:rPr>
          <w:szCs w:val="18"/>
          <w:lang w:eastAsia="zh-CN"/>
        </w:rPr>
        <w:t xml:space="preserve">wordt een appreciatie gegeven van de mate waarin organisaties voor het Nederlandse BHOS-beleid relevante resultaten behalen. </w:t>
      </w:r>
      <w:r w:rsidR="005D3322">
        <w:rPr>
          <w:szCs w:val="18"/>
          <w:lang w:eastAsia="zh-CN"/>
        </w:rPr>
        <w:t xml:space="preserve">Deelaspecten van effectiviteit worden beoordeeld op basis van specifieke criteria en gescoord op een vierpuntsschaal van onvoldoende, matig, voldoende en </w:t>
      </w:r>
      <w:r w:rsidR="0014161D">
        <w:rPr>
          <w:szCs w:val="18"/>
          <w:lang w:eastAsia="zh-CN"/>
        </w:rPr>
        <w:t>uitstekend</w:t>
      </w:r>
      <w:r w:rsidR="005D3322">
        <w:rPr>
          <w:szCs w:val="18"/>
          <w:lang w:eastAsia="zh-CN"/>
        </w:rPr>
        <w:t xml:space="preserve">. Daarnaast </w:t>
      </w:r>
      <w:r w:rsidR="0014161D">
        <w:rPr>
          <w:szCs w:val="18"/>
          <w:lang w:eastAsia="zh-CN"/>
        </w:rPr>
        <w:t>wordt aangegeven of de organisatie een positieve, een negatieve of een neutrale ontwikkeling heeft doorgemaakt sinds de scorecard 2015.</w:t>
      </w:r>
      <w:r w:rsidR="005D3322">
        <w:rPr>
          <w:szCs w:val="18"/>
          <w:lang w:eastAsia="zh-CN"/>
        </w:rPr>
        <w:t xml:space="preserve"> </w:t>
      </w:r>
      <w:r w:rsidR="00EE1DC0">
        <w:rPr>
          <w:szCs w:val="18"/>
          <w:lang w:eastAsia="zh-CN"/>
        </w:rPr>
        <w:t>Beleidsmatige r</w:t>
      </w:r>
      <w:r w:rsidR="005D3322">
        <w:rPr>
          <w:szCs w:val="18"/>
          <w:lang w:eastAsia="zh-CN"/>
        </w:rPr>
        <w:t xml:space="preserve">elevantie </w:t>
      </w:r>
      <w:r w:rsidR="00EE1DC0">
        <w:rPr>
          <w:szCs w:val="18"/>
          <w:lang w:eastAsia="zh-CN"/>
        </w:rPr>
        <w:t>en impact</w:t>
      </w:r>
      <w:r w:rsidR="00770864">
        <w:rPr>
          <w:szCs w:val="18"/>
          <w:lang w:eastAsia="zh-CN"/>
        </w:rPr>
        <w:t xml:space="preserve"> (resultaten)</w:t>
      </w:r>
      <w:r w:rsidR="00EE1DC0">
        <w:rPr>
          <w:szCs w:val="18"/>
          <w:lang w:eastAsia="zh-CN"/>
        </w:rPr>
        <w:t xml:space="preserve"> worden </w:t>
      </w:r>
      <w:r w:rsidR="005D3322">
        <w:rPr>
          <w:szCs w:val="18"/>
          <w:lang w:eastAsia="zh-CN"/>
        </w:rPr>
        <w:t>aangeduid met de kwalificaties relevant, beperkt relevant en niet relevant. Een samenvatting van al deze scores is te vind</w:t>
      </w:r>
      <w:r w:rsidR="005A463A">
        <w:rPr>
          <w:szCs w:val="18"/>
          <w:lang w:eastAsia="zh-CN"/>
        </w:rPr>
        <w:t>en in de tabellen in hoofdstuk 5</w:t>
      </w:r>
      <w:r w:rsidR="005D3322">
        <w:rPr>
          <w:szCs w:val="18"/>
          <w:lang w:eastAsia="zh-CN"/>
        </w:rPr>
        <w:t>.</w:t>
      </w:r>
    </w:p>
    <w:p w14:paraId="4D97493F" w14:textId="77777777" w:rsidR="005150FC" w:rsidRPr="00307981" w:rsidRDefault="005150FC" w:rsidP="005150FC">
      <w:pPr>
        <w:shd w:val="clear" w:color="auto" w:fill="FFFFFF"/>
        <w:spacing w:before="100" w:beforeAutospacing="1" w:after="100" w:afterAutospacing="1" w:line="240" w:lineRule="auto"/>
        <w:rPr>
          <w:szCs w:val="18"/>
          <w:lang w:eastAsia="zh-CN"/>
        </w:rPr>
      </w:pPr>
      <w:r w:rsidRPr="00307981">
        <w:rPr>
          <w:szCs w:val="18"/>
          <w:lang w:eastAsia="zh-CN"/>
        </w:rPr>
        <w:t xml:space="preserve">De scorecards </w:t>
      </w:r>
      <w:r>
        <w:rPr>
          <w:szCs w:val="18"/>
          <w:lang w:eastAsia="zh-CN"/>
        </w:rPr>
        <w:t>zijn</w:t>
      </w:r>
      <w:r w:rsidRPr="00307981">
        <w:rPr>
          <w:szCs w:val="18"/>
          <w:lang w:eastAsia="zh-CN"/>
        </w:rPr>
        <w:t xml:space="preserve"> samengesteld op basis van rapportages van de organisatie zelf, van de </w:t>
      </w:r>
      <w:r w:rsidRPr="00CA5BC9">
        <w:rPr>
          <w:i/>
          <w:szCs w:val="18"/>
          <w:lang w:eastAsia="zh-CN"/>
        </w:rPr>
        <w:t>Board of Auditors</w:t>
      </w:r>
      <w:r w:rsidRPr="00307981">
        <w:rPr>
          <w:szCs w:val="18"/>
          <w:lang w:eastAsia="zh-CN"/>
        </w:rPr>
        <w:t xml:space="preserve">, </w:t>
      </w:r>
      <w:r>
        <w:rPr>
          <w:szCs w:val="18"/>
          <w:lang w:eastAsia="zh-CN"/>
        </w:rPr>
        <w:t xml:space="preserve">interne en externe </w:t>
      </w:r>
      <w:r w:rsidRPr="00307981">
        <w:rPr>
          <w:szCs w:val="18"/>
          <w:lang w:eastAsia="zh-CN"/>
        </w:rPr>
        <w:t>evaluaties</w:t>
      </w:r>
      <w:r w:rsidR="00AC567F">
        <w:rPr>
          <w:szCs w:val="18"/>
          <w:lang w:eastAsia="zh-CN"/>
        </w:rPr>
        <w:t>,</w:t>
      </w:r>
      <w:r w:rsidRPr="00307981">
        <w:rPr>
          <w:szCs w:val="18"/>
          <w:lang w:eastAsia="zh-CN"/>
        </w:rPr>
        <w:t xml:space="preserve"> </w:t>
      </w:r>
      <w:r>
        <w:rPr>
          <w:szCs w:val="18"/>
          <w:lang w:eastAsia="zh-CN"/>
        </w:rPr>
        <w:t xml:space="preserve">beoordelingen door andere donoren en </w:t>
      </w:r>
      <w:r w:rsidRPr="00307981">
        <w:rPr>
          <w:szCs w:val="18"/>
          <w:lang w:eastAsia="zh-CN"/>
        </w:rPr>
        <w:t xml:space="preserve">van het </w:t>
      </w:r>
      <w:r w:rsidRPr="00AF36B0">
        <w:rPr>
          <w:i/>
          <w:szCs w:val="18"/>
          <w:lang w:eastAsia="zh-CN"/>
        </w:rPr>
        <w:t>Multilateral Organisations Performance Assessment Network</w:t>
      </w:r>
      <w:r w:rsidRPr="00307981">
        <w:rPr>
          <w:szCs w:val="18"/>
          <w:lang w:eastAsia="zh-CN"/>
        </w:rPr>
        <w:t xml:space="preserve"> (MOPAN)</w:t>
      </w:r>
      <w:r w:rsidR="00456C9B">
        <w:rPr>
          <w:szCs w:val="18"/>
          <w:lang w:eastAsia="zh-CN"/>
        </w:rPr>
        <w:t>.</w:t>
      </w:r>
      <w:r>
        <w:rPr>
          <w:rStyle w:val="FootnoteReference"/>
          <w:szCs w:val="18"/>
          <w:lang w:eastAsia="zh-CN"/>
        </w:rPr>
        <w:footnoteReference w:id="2"/>
      </w:r>
      <w:r>
        <w:rPr>
          <w:szCs w:val="18"/>
          <w:lang w:eastAsia="zh-CN"/>
        </w:rPr>
        <w:t xml:space="preserve"> </w:t>
      </w:r>
      <w:r w:rsidRPr="00307981">
        <w:rPr>
          <w:szCs w:val="18"/>
          <w:lang w:eastAsia="zh-CN"/>
        </w:rPr>
        <w:t>Daarnaast wordt om de input gevraagd van betrokken vakdepartementen, de Permanente Vertegenwoordigingen</w:t>
      </w:r>
      <w:r>
        <w:rPr>
          <w:szCs w:val="18"/>
          <w:lang w:eastAsia="zh-CN"/>
        </w:rPr>
        <w:t xml:space="preserve"> en</w:t>
      </w:r>
      <w:r w:rsidRPr="00307981">
        <w:rPr>
          <w:szCs w:val="18"/>
          <w:lang w:eastAsia="zh-CN"/>
        </w:rPr>
        <w:t xml:space="preserve"> Kiesgroepkantoren. Ook </w:t>
      </w:r>
      <w:r w:rsidR="004E60C0">
        <w:rPr>
          <w:szCs w:val="18"/>
          <w:lang w:eastAsia="zh-CN"/>
        </w:rPr>
        <w:t xml:space="preserve">informatie </w:t>
      </w:r>
      <w:r>
        <w:rPr>
          <w:szCs w:val="18"/>
          <w:lang w:eastAsia="zh-CN"/>
        </w:rPr>
        <w:t xml:space="preserve">van ambassades </w:t>
      </w:r>
      <w:r w:rsidRPr="00307981">
        <w:rPr>
          <w:szCs w:val="18"/>
          <w:lang w:eastAsia="zh-CN"/>
        </w:rPr>
        <w:t xml:space="preserve">over het functioneren van landenkantoren </w:t>
      </w:r>
      <w:r>
        <w:rPr>
          <w:szCs w:val="18"/>
          <w:lang w:eastAsia="zh-CN"/>
        </w:rPr>
        <w:t>van multilaterale instellingen zijn</w:t>
      </w:r>
      <w:r w:rsidRPr="00307981">
        <w:rPr>
          <w:szCs w:val="18"/>
          <w:lang w:eastAsia="zh-CN"/>
        </w:rPr>
        <w:t xml:space="preserve"> in de scorecard </w:t>
      </w:r>
      <w:r w:rsidR="00710978">
        <w:rPr>
          <w:szCs w:val="18"/>
          <w:lang w:eastAsia="zh-CN"/>
        </w:rPr>
        <w:t>verwerkt</w:t>
      </w:r>
      <w:r>
        <w:rPr>
          <w:szCs w:val="18"/>
          <w:lang w:eastAsia="zh-CN"/>
        </w:rPr>
        <w:t>.</w:t>
      </w:r>
      <w:r w:rsidRPr="00307981">
        <w:rPr>
          <w:szCs w:val="18"/>
          <w:lang w:eastAsia="zh-CN"/>
        </w:rPr>
        <w:t xml:space="preserve"> </w:t>
      </w:r>
      <w:r w:rsidR="00AC567F">
        <w:rPr>
          <w:szCs w:val="18"/>
          <w:lang w:eastAsia="zh-CN"/>
        </w:rPr>
        <w:t>De s</w:t>
      </w:r>
      <w:r w:rsidRPr="00307981">
        <w:rPr>
          <w:szCs w:val="18"/>
          <w:lang w:eastAsia="zh-CN"/>
        </w:rPr>
        <w:t xml:space="preserve">corecards </w:t>
      </w:r>
      <w:r>
        <w:rPr>
          <w:szCs w:val="18"/>
          <w:lang w:eastAsia="zh-CN"/>
        </w:rPr>
        <w:t xml:space="preserve">worden </w:t>
      </w:r>
      <w:r w:rsidR="002633CA">
        <w:rPr>
          <w:szCs w:val="18"/>
          <w:lang w:eastAsia="zh-CN"/>
        </w:rPr>
        <w:t xml:space="preserve">iedere twee jaar </w:t>
      </w:r>
      <w:r w:rsidRPr="00307981">
        <w:rPr>
          <w:szCs w:val="18"/>
          <w:lang w:eastAsia="zh-CN"/>
        </w:rPr>
        <w:t>geactualiseerd</w:t>
      </w:r>
      <w:r w:rsidR="002C77AF">
        <w:rPr>
          <w:szCs w:val="18"/>
          <w:lang w:eastAsia="zh-CN"/>
        </w:rPr>
        <w:t>.</w:t>
      </w:r>
      <w:r w:rsidRPr="00307981">
        <w:rPr>
          <w:szCs w:val="18"/>
          <w:lang w:eastAsia="zh-CN"/>
        </w:rPr>
        <w:t xml:space="preserve"> </w:t>
      </w:r>
    </w:p>
    <w:p w14:paraId="4D974940" w14:textId="77777777" w:rsidR="00307981" w:rsidRPr="00307981" w:rsidRDefault="00307981" w:rsidP="00307981"/>
    <w:p w14:paraId="4D974941" w14:textId="538D745B" w:rsidR="00D745A7" w:rsidRDefault="00F24A31" w:rsidP="00CF3D6A">
      <w:pPr>
        <w:pStyle w:val="Heading1"/>
        <w:numPr>
          <w:ilvl w:val="0"/>
          <w:numId w:val="43"/>
        </w:numPr>
        <w:spacing w:after="240" w:line="240" w:lineRule="auto"/>
      </w:pPr>
      <w:r>
        <w:lastRenderedPageBreak/>
        <w:tab/>
      </w:r>
      <w:r w:rsidR="00FD6DC6">
        <w:tab/>
      </w:r>
      <w:r w:rsidR="00FD6DC6">
        <w:tab/>
      </w:r>
      <w:r w:rsidR="000C7B90">
        <w:t xml:space="preserve">    </w:t>
      </w:r>
      <w:r w:rsidR="001B06FD">
        <w:tab/>
      </w:r>
      <w:r w:rsidR="001B06FD">
        <w:tab/>
      </w:r>
      <w:r w:rsidR="001B06FD">
        <w:tab/>
        <w:t xml:space="preserve">   </w:t>
      </w:r>
      <w:bookmarkStart w:id="24" w:name="_Toc491259063"/>
      <w:r w:rsidR="00D745A7">
        <w:t>Algemene achtergrond</w:t>
      </w:r>
      <w:bookmarkEnd w:id="24"/>
    </w:p>
    <w:p w14:paraId="4D974942" w14:textId="0B8260FB" w:rsidR="006C1EB0" w:rsidRDefault="00794FE6" w:rsidP="00CF3D6A">
      <w:pPr>
        <w:pStyle w:val="Heading2"/>
        <w:tabs>
          <w:tab w:val="left" w:pos="-1162"/>
          <w:tab w:val="left" w:pos="0"/>
        </w:tabs>
        <w:spacing w:line="240" w:lineRule="auto"/>
        <w:ind w:left="-1162"/>
      </w:pPr>
      <w:bookmarkStart w:id="25" w:name="_Toc491259064"/>
      <w:r>
        <w:t>3.</w:t>
      </w:r>
      <w:r w:rsidR="00CF3D6A">
        <w:t xml:space="preserve">1 </w:t>
      </w:r>
      <w:r w:rsidR="00CF3D6A">
        <w:tab/>
      </w:r>
      <w:r w:rsidR="0055776D">
        <w:t>Doelstelling</w:t>
      </w:r>
      <w:r w:rsidR="00FC6EC6">
        <w:t xml:space="preserve"> en toegevoegde waarde</w:t>
      </w:r>
      <w:bookmarkEnd w:id="25"/>
    </w:p>
    <w:p w14:paraId="4D974945" w14:textId="3C49DFCC" w:rsidR="00A14CA2" w:rsidRPr="002D4183" w:rsidRDefault="00A14CA2" w:rsidP="00A14CA2">
      <w:pPr>
        <w:rPr>
          <w:szCs w:val="18"/>
        </w:rPr>
      </w:pPr>
      <w:r w:rsidRPr="00DF0BF0">
        <w:rPr>
          <w:rFonts w:eastAsia="Arial Unicode MS"/>
          <w:szCs w:val="18"/>
        </w:rPr>
        <w:t xml:space="preserve">Het </w:t>
      </w:r>
      <w:r w:rsidR="00AA0E58" w:rsidRPr="00314129">
        <w:rPr>
          <w:rFonts w:cs="Arial"/>
          <w:i/>
          <w:color w:val="000000"/>
          <w:szCs w:val="18"/>
        </w:rPr>
        <w:t>Office of the High Commissioner for Human Rights</w:t>
      </w:r>
      <w:r w:rsidRPr="00DF0BF0">
        <w:rPr>
          <w:rFonts w:cs="Arial"/>
          <w:color w:val="000000"/>
          <w:szCs w:val="18"/>
        </w:rPr>
        <w:t xml:space="preserve"> (</w:t>
      </w:r>
      <w:r w:rsidRPr="00DF0BF0">
        <w:rPr>
          <w:rFonts w:eastAsia="Arial Unicode MS"/>
          <w:szCs w:val="18"/>
        </w:rPr>
        <w:t>OHCHR</w:t>
      </w:r>
      <w:r>
        <w:rPr>
          <w:rFonts w:eastAsia="Arial Unicode MS"/>
          <w:szCs w:val="18"/>
        </w:rPr>
        <w:t>)</w:t>
      </w:r>
      <w:r w:rsidRPr="00DF0BF0">
        <w:rPr>
          <w:rFonts w:eastAsia="Arial Unicode MS"/>
          <w:szCs w:val="18"/>
        </w:rPr>
        <w:t xml:space="preserve"> </w:t>
      </w:r>
      <w:r>
        <w:rPr>
          <w:rFonts w:eastAsia="Arial Unicode MS"/>
          <w:szCs w:val="18"/>
        </w:rPr>
        <w:t>heeft als doelstelling</w:t>
      </w:r>
      <w:r w:rsidRPr="00A972E0">
        <w:rPr>
          <w:rFonts w:eastAsia="Arial Unicode MS"/>
          <w:szCs w:val="18"/>
        </w:rPr>
        <w:t xml:space="preserve"> </w:t>
      </w:r>
      <w:r>
        <w:rPr>
          <w:rFonts w:eastAsia="Arial Unicode MS"/>
          <w:szCs w:val="18"/>
        </w:rPr>
        <w:t xml:space="preserve">de bevordering en bescherming van mensenrechten wereldwijd. </w:t>
      </w:r>
      <w:r w:rsidRPr="002D4183">
        <w:rPr>
          <w:szCs w:val="18"/>
        </w:rPr>
        <w:t xml:space="preserve">Basis voor de werkzaamheden van </w:t>
      </w:r>
      <w:r>
        <w:rPr>
          <w:szCs w:val="18"/>
        </w:rPr>
        <w:t>het OHCHR</w:t>
      </w:r>
      <w:r w:rsidRPr="002D4183">
        <w:rPr>
          <w:szCs w:val="18"/>
        </w:rPr>
        <w:t xml:space="preserve"> zijn AVVN-resolutie 48/141, het VN-</w:t>
      </w:r>
      <w:r>
        <w:rPr>
          <w:szCs w:val="18"/>
        </w:rPr>
        <w:t>Handvest</w:t>
      </w:r>
      <w:r w:rsidRPr="002D4183">
        <w:rPr>
          <w:szCs w:val="18"/>
        </w:rPr>
        <w:t>, de Universele Verklar</w:t>
      </w:r>
      <w:r>
        <w:rPr>
          <w:szCs w:val="18"/>
        </w:rPr>
        <w:t>ing voor de Rechten van de Mens</w:t>
      </w:r>
      <w:r w:rsidRPr="002D4183">
        <w:rPr>
          <w:szCs w:val="18"/>
        </w:rPr>
        <w:t xml:space="preserve">, de additionele VN-mensenrechteninstrumenten, de 1993 </w:t>
      </w:r>
      <w:r w:rsidR="00AA0E58" w:rsidRPr="00314129">
        <w:rPr>
          <w:i/>
          <w:szCs w:val="18"/>
        </w:rPr>
        <w:t>Vienna Declaration and Programme of Action</w:t>
      </w:r>
      <w:r w:rsidRPr="002D4183">
        <w:rPr>
          <w:szCs w:val="18"/>
        </w:rPr>
        <w:t xml:space="preserve"> en het 2005 </w:t>
      </w:r>
      <w:r w:rsidRPr="00314129">
        <w:rPr>
          <w:i/>
          <w:szCs w:val="18"/>
        </w:rPr>
        <w:t>World Summit Outcome Document</w:t>
      </w:r>
      <w:r w:rsidR="00314129">
        <w:rPr>
          <w:szCs w:val="18"/>
        </w:rPr>
        <w:t>.</w:t>
      </w:r>
      <w:r w:rsidRPr="002D4183">
        <w:rPr>
          <w:szCs w:val="18"/>
        </w:rPr>
        <w:t xml:space="preserve"> </w:t>
      </w:r>
    </w:p>
    <w:p w14:paraId="4D974946" w14:textId="77777777" w:rsidR="00A14CA2" w:rsidRDefault="00A14CA2" w:rsidP="00A14CA2">
      <w:pPr>
        <w:spacing w:line="240" w:lineRule="auto"/>
        <w:rPr>
          <w:rFonts w:eastAsia="Arial Unicode MS"/>
          <w:szCs w:val="18"/>
        </w:rPr>
      </w:pPr>
    </w:p>
    <w:p w14:paraId="4D974947" w14:textId="77777777" w:rsidR="00A14CA2" w:rsidRPr="006F58A1" w:rsidRDefault="00A14CA2" w:rsidP="00A14CA2">
      <w:pPr>
        <w:spacing w:line="240" w:lineRule="auto"/>
        <w:rPr>
          <w:rFonts w:eastAsia="Arial Unicode MS"/>
          <w:b/>
          <w:szCs w:val="18"/>
        </w:rPr>
      </w:pPr>
      <w:r>
        <w:rPr>
          <w:rFonts w:eastAsia="Arial Unicode MS"/>
          <w:szCs w:val="18"/>
        </w:rPr>
        <w:t xml:space="preserve">Het OHCHR ondersteunt VN-lidstaten bij het in de praktijk gevolg geven aan deze rechten en individuen bij het maken van aanspraak op deze rechten. Dit doet het OHCHR door het signaleren </w:t>
      </w:r>
      <w:r w:rsidRPr="006561F0">
        <w:rPr>
          <w:rFonts w:eastAsia="Arial Unicode MS"/>
          <w:szCs w:val="18"/>
        </w:rPr>
        <w:t xml:space="preserve">van </w:t>
      </w:r>
      <w:r>
        <w:rPr>
          <w:rFonts w:eastAsia="Arial Unicode MS"/>
          <w:szCs w:val="18"/>
        </w:rPr>
        <w:t>mensenrechten</w:t>
      </w:r>
      <w:r w:rsidRPr="006561F0">
        <w:rPr>
          <w:rFonts w:eastAsia="Arial Unicode MS"/>
          <w:szCs w:val="18"/>
        </w:rPr>
        <w:t xml:space="preserve">schendingen, </w:t>
      </w:r>
      <w:r>
        <w:rPr>
          <w:rFonts w:eastAsia="Arial Unicode MS"/>
          <w:szCs w:val="18"/>
        </w:rPr>
        <w:t>de bevordering</w:t>
      </w:r>
      <w:r w:rsidRPr="006561F0">
        <w:rPr>
          <w:rFonts w:eastAsia="Arial Unicode MS"/>
          <w:szCs w:val="18"/>
        </w:rPr>
        <w:t xml:space="preserve"> </w:t>
      </w:r>
      <w:r>
        <w:rPr>
          <w:rFonts w:eastAsia="Arial Unicode MS"/>
          <w:szCs w:val="18"/>
        </w:rPr>
        <w:t>van internationale samenwerking en het</w:t>
      </w:r>
      <w:r w:rsidRPr="006561F0">
        <w:rPr>
          <w:rFonts w:eastAsia="Arial Unicode MS"/>
          <w:szCs w:val="18"/>
        </w:rPr>
        <w:t xml:space="preserve"> versterken en stroomlijnen van mensenrechten binnen de</w:t>
      </w:r>
      <w:r w:rsidR="00C3632C">
        <w:rPr>
          <w:rFonts w:eastAsia="Arial Unicode MS"/>
          <w:szCs w:val="18"/>
        </w:rPr>
        <w:t xml:space="preserve"> VN. Ook h</w:t>
      </w:r>
      <w:r>
        <w:rPr>
          <w:rFonts w:eastAsia="Arial Unicode MS"/>
          <w:szCs w:val="18"/>
        </w:rPr>
        <w:t>et integreren van mensenrechten binnen andere beleidsterreinen van de VN is een cruciaal onderdeel van het mandaat van het OHCHR.</w:t>
      </w:r>
      <w:r w:rsidR="00C3632C">
        <w:rPr>
          <w:rFonts w:eastAsia="Arial Unicode MS"/>
          <w:szCs w:val="18"/>
        </w:rPr>
        <w:t xml:space="preserve"> </w:t>
      </w:r>
    </w:p>
    <w:p w14:paraId="4D974948" w14:textId="77777777" w:rsidR="00A14CA2" w:rsidRDefault="00A14CA2" w:rsidP="00A14CA2"/>
    <w:p w14:paraId="4D974949" w14:textId="77777777" w:rsidR="00A14CA2" w:rsidRDefault="00A14CA2" w:rsidP="00A14CA2">
      <w:pPr>
        <w:rPr>
          <w:rFonts w:eastAsia="Arial Unicode MS"/>
          <w:szCs w:val="18"/>
        </w:rPr>
      </w:pPr>
      <w:r>
        <w:t>OHCHR is een van de belangrijkste kenniscentra op het gebied van mensenrechten. OHCHR heeft daardoor een belangrijke normerende taak. Zo spreekt de Hoge Commissaris zich geregeld uit over misstanden en roept landen op de mensenrechten na te leven. D</w:t>
      </w:r>
      <w:r>
        <w:rPr>
          <w:rFonts w:eastAsia="Arial Unicode MS"/>
          <w:szCs w:val="18"/>
        </w:rPr>
        <w:t xml:space="preserve">e Hoge Commissaris heeft door zijn neutraliteit en onafhankelijkheid een belangrijke rol. In het politieke speelveld waarin regeringen in een groot aantal landen weinig ontvankelijk zijn voor kritiek, is het belangrijk dat OHCHR de middelen heeft om de Hoge Commissaris daarin te steunen. </w:t>
      </w:r>
    </w:p>
    <w:p w14:paraId="4D97494A" w14:textId="77777777" w:rsidR="00A14CA2" w:rsidRDefault="00A14CA2" w:rsidP="00A14CA2">
      <w:pPr>
        <w:rPr>
          <w:rFonts w:eastAsia="Arial Unicode MS"/>
          <w:szCs w:val="18"/>
        </w:rPr>
      </w:pPr>
    </w:p>
    <w:p w14:paraId="4D97494B" w14:textId="77777777" w:rsidR="00A14CA2" w:rsidRDefault="00A14CA2" w:rsidP="00A14CA2">
      <w:r>
        <w:t>Deze normen worden mede gehandhaafd door</w:t>
      </w:r>
      <w:r w:rsidRPr="00D3284B">
        <w:t xml:space="preserve"> </w:t>
      </w:r>
      <w:r>
        <w:t xml:space="preserve">de Mensenrechtenraad (o.m. door middel van de </w:t>
      </w:r>
      <w:r w:rsidRPr="00DB07F3">
        <w:rPr>
          <w:i/>
        </w:rPr>
        <w:t>Universal Periodic Review</w:t>
      </w:r>
      <w:r>
        <w:t xml:space="preserve"> en de speciale procedures) en via de bijeenkomsten van de verschillende verdragscomités. OHCHR biedt ondersteuning bij de uitvoering van deze mechanismen.</w:t>
      </w:r>
    </w:p>
    <w:p w14:paraId="4D97494C" w14:textId="77777777" w:rsidR="009C4AAC" w:rsidRPr="009C4AAC" w:rsidRDefault="009C4AAC" w:rsidP="009C4AAC"/>
    <w:p w14:paraId="4D97494D" w14:textId="2C5CA4EC" w:rsidR="00D745A7" w:rsidRDefault="000C7B90" w:rsidP="00CF3D6A">
      <w:pPr>
        <w:pStyle w:val="Heading2"/>
        <w:numPr>
          <w:ilvl w:val="1"/>
          <w:numId w:val="43"/>
        </w:numPr>
        <w:tabs>
          <w:tab w:val="left" w:pos="-1162"/>
          <w:tab w:val="left" w:pos="0"/>
        </w:tabs>
        <w:spacing w:line="240" w:lineRule="auto"/>
      </w:pPr>
      <w:r>
        <w:t xml:space="preserve">   </w:t>
      </w:r>
      <w:r w:rsidR="00CF3D6A">
        <w:t xml:space="preserve"> </w:t>
      </w:r>
      <w:r w:rsidR="001B06FD">
        <w:tab/>
      </w:r>
      <w:bookmarkStart w:id="26" w:name="_Toc491259065"/>
      <w:r w:rsidR="00D745A7">
        <w:t>Organisatie, werkwijze en activiteiten</w:t>
      </w:r>
      <w:bookmarkEnd w:id="26"/>
    </w:p>
    <w:p w14:paraId="4D97494F" w14:textId="77777777" w:rsidR="00A14CA2" w:rsidRPr="002D4183" w:rsidRDefault="00A14CA2" w:rsidP="00A14CA2">
      <w:pPr>
        <w:rPr>
          <w:szCs w:val="18"/>
        </w:rPr>
      </w:pPr>
      <w:r w:rsidRPr="002D4183">
        <w:rPr>
          <w:szCs w:val="18"/>
        </w:rPr>
        <w:t>De werkzaamheden van het OHCHR zijn gericht op het tot stand brengen,</w:t>
      </w:r>
      <w:r>
        <w:rPr>
          <w:szCs w:val="18"/>
        </w:rPr>
        <w:t xml:space="preserve"> versterken, stroomlijnen,</w:t>
      </w:r>
      <w:r w:rsidRPr="002D4183">
        <w:rPr>
          <w:szCs w:val="18"/>
        </w:rPr>
        <w:t xml:space="preserve"> monitoren en implementeren van mensenrechtenstandaarden. </w:t>
      </w:r>
      <w:r>
        <w:rPr>
          <w:szCs w:val="18"/>
        </w:rPr>
        <w:t>Het OHCHR</w:t>
      </w:r>
      <w:r w:rsidRPr="002D4183">
        <w:rPr>
          <w:szCs w:val="18"/>
        </w:rPr>
        <w:t xml:space="preserve"> </w:t>
      </w:r>
      <w:r>
        <w:rPr>
          <w:szCs w:val="18"/>
        </w:rPr>
        <w:t xml:space="preserve">biedt inhoudelijke en technische </w:t>
      </w:r>
      <w:r w:rsidRPr="002D4183">
        <w:rPr>
          <w:szCs w:val="18"/>
        </w:rPr>
        <w:t>ondersteun</w:t>
      </w:r>
      <w:r>
        <w:rPr>
          <w:szCs w:val="18"/>
        </w:rPr>
        <w:t>ing</w:t>
      </w:r>
      <w:r w:rsidRPr="002D4183">
        <w:rPr>
          <w:szCs w:val="18"/>
        </w:rPr>
        <w:t xml:space="preserve"> </w:t>
      </w:r>
      <w:r>
        <w:rPr>
          <w:szCs w:val="18"/>
        </w:rPr>
        <w:t>aan</w:t>
      </w:r>
      <w:r w:rsidRPr="002D4183">
        <w:rPr>
          <w:szCs w:val="18"/>
        </w:rPr>
        <w:t xml:space="preserve"> de verschillende VN-mensenrechteninstrumenten</w:t>
      </w:r>
      <w:r>
        <w:rPr>
          <w:szCs w:val="18"/>
        </w:rPr>
        <w:t>, zoals de Speciaal Rapporteurs en de Verdragscomités,</w:t>
      </w:r>
      <w:r w:rsidRPr="002D4183">
        <w:rPr>
          <w:szCs w:val="18"/>
        </w:rPr>
        <w:t xml:space="preserve"> en dient als secretariaat voor de VN-Mensenrechtenraad</w:t>
      </w:r>
      <w:r w:rsidRPr="00D30ED4">
        <w:rPr>
          <w:szCs w:val="18"/>
        </w:rPr>
        <w:t xml:space="preserve">. Kennis en expertise van alle categorieën van mensenrechten – burgerlijk, cultureel, economisch, politiek en sociaal – worden verdiept door (eigen) onderzoek en analyse. </w:t>
      </w:r>
      <w:r>
        <w:rPr>
          <w:szCs w:val="18"/>
        </w:rPr>
        <w:t>Er worden</w:t>
      </w:r>
      <w:r w:rsidRPr="00D30ED4">
        <w:rPr>
          <w:szCs w:val="18"/>
        </w:rPr>
        <w:t xml:space="preserve"> tevens</w:t>
      </w:r>
      <w:r>
        <w:rPr>
          <w:szCs w:val="18"/>
        </w:rPr>
        <w:t xml:space="preserve"> experts van OHCHR</w:t>
      </w:r>
      <w:r w:rsidRPr="00D30ED4">
        <w:rPr>
          <w:szCs w:val="18"/>
        </w:rPr>
        <w:t xml:space="preserve"> uitgezonden naar veldkantoren en andere OHCHR/VN-missies.</w:t>
      </w:r>
      <w:r>
        <w:rPr>
          <w:szCs w:val="18"/>
        </w:rPr>
        <w:t xml:space="preserve"> Deze experts doen onderzoek naar en rapporteren over de mensenrechtensituatie ter plaatse. </w:t>
      </w:r>
    </w:p>
    <w:p w14:paraId="4D974950" w14:textId="77777777" w:rsidR="00A14CA2" w:rsidRPr="002D4183" w:rsidRDefault="00A14CA2" w:rsidP="00A14CA2">
      <w:pPr>
        <w:rPr>
          <w:szCs w:val="18"/>
        </w:rPr>
      </w:pPr>
    </w:p>
    <w:p w14:paraId="4D974951" w14:textId="77777777" w:rsidR="00A14CA2" w:rsidRDefault="00A14CA2" w:rsidP="00A14CA2">
      <w:pPr>
        <w:rPr>
          <w:szCs w:val="18"/>
        </w:rPr>
      </w:pPr>
      <w:r>
        <w:rPr>
          <w:szCs w:val="18"/>
        </w:rPr>
        <w:t xml:space="preserve">Het OHCHR wordt geleid door de Hoge Commissaris voor de Rechten van de Mens en ondersteund door de plaatsvervangend Hoge Commissaris en de Assistant Secretaris Generaal voor Mensenrechten. </w:t>
      </w:r>
      <w:r w:rsidRPr="004E6F6E">
        <w:rPr>
          <w:szCs w:val="18"/>
        </w:rPr>
        <w:t>Sinds 2014 is Zeid Ra’ad Al Hussein (Jordanië)</w:t>
      </w:r>
      <w:r w:rsidRPr="002D4183">
        <w:rPr>
          <w:szCs w:val="18"/>
        </w:rPr>
        <w:t xml:space="preserve"> Hoge Commissaris voor de Rechten van de Mens. </w:t>
      </w:r>
      <w:r w:rsidR="002007E8">
        <w:rPr>
          <w:szCs w:val="18"/>
        </w:rPr>
        <w:t xml:space="preserve">Het Kantoor </w:t>
      </w:r>
      <w:r>
        <w:rPr>
          <w:szCs w:val="18"/>
        </w:rPr>
        <w:t>legt verantwoording af aan het Secretariaat van de Verenigde Naties.</w:t>
      </w:r>
    </w:p>
    <w:p w14:paraId="4D974952" w14:textId="77777777" w:rsidR="00C3632C" w:rsidRDefault="00C3632C" w:rsidP="00A14CA2">
      <w:pPr>
        <w:rPr>
          <w:szCs w:val="18"/>
        </w:rPr>
      </w:pPr>
    </w:p>
    <w:p w14:paraId="18A183E6" w14:textId="221292CD" w:rsidR="0A2A85C8" w:rsidRDefault="0A2A85C8">
      <w:r w:rsidRPr="00F7388E">
        <w:rPr>
          <w:rFonts w:eastAsia="Verdana" w:cs="Verdana"/>
          <w:szCs w:val="18"/>
        </w:rPr>
        <w:t>In 2016 werkten er 1,179 mensen voor OHCHR, deze mensen zijn werkzaam in de hoofdkantoren in Genève (53%) en New York (3%), en de 12 regionale</w:t>
      </w:r>
      <w:r w:rsidR="000C7B90">
        <w:rPr>
          <w:rFonts w:eastAsia="Verdana" w:cs="Verdana"/>
          <w:szCs w:val="18"/>
        </w:rPr>
        <w:t xml:space="preserve"> </w:t>
      </w:r>
      <w:r w:rsidRPr="00F7388E">
        <w:rPr>
          <w:rFonts w:eastAsia="Verdana" w:cs="Verdana"/>
          <w:szCs w:val="18"/>
        </w:rPr>
        <w:t xml:space="preserve">en 14 landelijke kantoren (44%). Daarnaast neemt de OHCHR deel aan VN-vredesoperaties en heeft medewerkers die werkzaam zijn binnen de VN-landenteams. Eind 2016 heeft de OHCHR deelgenomen aan 57 'special procedures' waarvan 43 </w:t>
      </w:r>
      <w:r w:rsidR="001B06FD" w:rsidRPr="00F7388E">
        <w:rPr>
          <w:rFonts w:eastAsia="Verdana" w:cs="Verdana"/>
          <w:szCs w:val="18"/>
        </w:rPr>
        <w:t>thematisch</w:t>
      </w:r>
      <w:r w:rsidRPr="00F7388E">
        <w:rPr>
          <w:rFonts w:eastAsia="Verdana" w:cs="Verdana"/>
          <w:szCs w:val="18"/>
        </w:rPr>
        <w:t xml:space="preserve">, en 14 landensituaties. In 2016 heeft de OHCHR zeer </w:t>
      </w:r>
      <w:r w:rsidRPr="00F7388E">
        <w:rPr>
          <w:rFonts w:eastAsia="Verdana" w:cs="Verdana"/>
          <w:szCs w:val="18"/>
        </w:rPr>
        <w:lastRenderedPageBreak/>
        <w:t xml:space="preserve">diverse activiteiten ondernomen. Zo is de OHCHR in 2016 bijvoorbeeld gestart met de campagne </w:t>
      </w:r>
      <w:r w:rsidRPr="001B06FD">
        <w:rPr>
          <w:rFonts w:eastAsia="Verdana" w:cs="Verdana"/>
          <w:i/>
          <w:szCs w:val="18"/>
        </w:rPr>
        <w:t>'Living Free and Equal'</w:t>
      </w:r>
      <w:r w:rsidR="001B06FD">
        <w:rPr>
          <w:rFonts w:eastAsia="Verdana" w:cs="Verdana"/>
          <w:szCs w:val="18"/>
        </w:rPr>
        <w:t xml:space="preserve"> </w:t>
      </w:r>
      <w:r w:rsidRPr="00F7388E">
        <w:rPr>
          <w:rFonts w:eastAsia="Verdana" w:cs="Verdana"/>
          <w:szCs w:val="18"/>
        </w:rPr>
        <w:t xml:space="preserve">met meer dan 200 initiatieven in 65 landen voor het aanpakken van geweld en discriminatie tegen LGBTI-personen. De VN </w:t>
      </w:r>
      <w:r w:rsidRPr="001B06FD">
        <w:rPr>
          <w:rFonts w:eastAsia="Verdana" w:cs="Verdana"/>
          <w:i/>
          <w:szCs w:val="18"/>
        </w:rPr>
        <w:t xml:space="preserve">Free &amp; Equal </w:t>
      </w:r>
      <w:r w:rsidRPr="00F7388E">
        <w:rPr>
          <w:rFonts w:eastAsia="Verdana" w:cs="Verdana"/>
          <w:szCs w:val="18"/>
        </w:rPr>
        <w:t>campagne 1,5 miljard mensen over de hele wereld via haar website, sociale en traditionele media. Mede als gevolg daarvan hebben Nauru en de Seychelles homoseksuele relaties gedecriminaliseerd. In Botswana heeft het Hof van Beroep het recht van vereniging en vergadering voor LGBTI personen gehandhaafd. In de staat Michoac</w:t>
      </w:r>
      <w:r w:rsidR="40D6BEE0" w:rsidRPr="00F7388E">
        <w:rPr>
          <w:rFonts w:eastAsia="Verdana" w:cs="Verdana"/>
          <w:szCs w:val="18"/>
        </w:rPr>
        <w:t xml:space="preserve">án in Mexico is het homohuwelijk toegestaan en ook het Constitutioneel Hof in Colombia bepaalde dat paren van hetzelfde geslacht recht hebben om een huwelijk te sluiten. Daarnaast heeft de OHCHR onder meer 3241 monitor-missies ondernomen, en 605 </w:t>
      </w:r>
      <w:r w:rsidR="001B06FD" w:rsidRPr="00F7388E">
        <w:rPr>
          <w:rFonts w:eastAsia="Verdana" w:cs="Verdana"/>
          <w:szCs w:val="18"/>
        </w:rPr>
        <w:t>rechtszaken</w:t>
      </w:r>
      <w:r w:rsidR="40D6BEE0" w:rsidRPr="00F7388E">
        <w:rPr>
          <w:rFonts w:eastAsia="Verdana" w:cs="Verdana"/>
          <w:szCs w:val="18"/>
        </w:rPr>
        <w:t xml:space="preserve"> bijgewoond en gemonitord.</w:t>
      </w:r>
    </w:p>
    <w:p w14:paraId="0E702116" w14:textId="7CFA17AD" w:rsidR="003458FF" w:rsidRDefault="003458FF" w:rsidP="00A14CA2">
      <w:pPr>
        <w:rPr>
          <w:rFonts w:eastAsia="Arial Unicode MS"/>
          <w:szCs w:val="18"/>
        </w:rPr>
      </w:pPr>
    </w:p>
    <w:p w14:paraId="24839AF4" w14:textId="77777777" w:rsidR="003458FF" w:rsidRPr="005E4531" w:rsidRDefault="003458FF" w:rsidP="00CF3D6A">
      <w:pPr>
        <w:rPr>
          <w:rFonts w:eastAsia="Arial Unicode MS"/>
        </w:rPr>
      </w:pPr>
      <w:r w:rsidRPr="00F7388E">
        <w:rPr>
          <w:rFonts w:eastAsia="Verdana" w:cs="Verdana"/>
        </w:rPr>
        <w:t>De thematische prioriteiten voor de periode 2014-2017 zijn:</w:t>
      </w:r>
    </w:p>
    <w:p w14:paraId="67DC43E7" w14:textId="77777777" w:rsidR="003458FF" w:rsidRPr="00343B4C" w:rsidRDefault="003458FF" w:rsidP="00343B4C">
      <w:pPr>
        <w:pStyle w:val="ListParagraph"/>
        <w:numPr>
          <w:ilvl w:val="0"/>
          <w:numId w:val="44"/>
        </w:numPr>
        <w:rPr>
          <w:rFonts w:eastAsia="Arial Unicode MS"/>
        </w:rPr>
      </w:pPr>
      <w:r w:rsidRPr="00F7388E">
        <w:rPr>
          <w:rFonts w:eastAsia="Verdana" w:cs="Verdana"/>
        </w:rPr>
        <w:t>Versterking van de internationale mensenrechtenmechanismen.</w:t>
      </w:r>
    </w:p>
    <w:p w14:paraId="0825D6C7" w14:textId="77777777" w:rsidR="003458FF" w:rsidRPr="00343B4C" w:rsidRDefault="003458FF" w:rsidP="00343B4C">
      <w:pPr>
        <w:pStyle w:val="ListParagraph"/>
        <w:numPr>
          <w:ilvl w:val="0"/>
          <w:numId w:val="44"/>
        </w:numPr>
        <w:rPr>
          <w:rFonts w:eastAsia="Arial Unicode MS"/>
        </w:rPr>
      </w:pPr>
      <w:r w:rsidRPr="00F7388E">
        <w:rPr>
          <w:rFonts w:eastAsia="Verdana" w:cs="Verdana"/>
        </w:rPr>
        <w:t>Bevorderen van gelijkheid en het tegengaan van discriminatie.</w:t>
      </w:r>
    </w:p>
    <w:p w14:paraId="2EAD4C50" w14:textId="77777777" w:rsidR="003458FF" w:rsidRPr="00343B4C" w:rsidRDefault="003458FF" w:rsidP="00343B4C">
      <w:pPr>
        <w:pStyle w:val="ListParagraph"/>
        <w:numPr>
          <w:ilvl w:val="0"/>
          <w:numId w:val="44"/>
        </w:numPr>
        <w:rPr>
          <w:rFonts w:eastAsia="Arial Unicode MS"/>
        </w:rPr>
      </w:pPr>
      <w:r w:rsidRPr="00F7388E">
        <w:rPr>
          <w:rFonts w:eastAsia="Verdana" w:cs="Verdana"/>
        </w:rPr>
        <w:t xml:space="preserve">Tegengaan van straffeloosheid en het versterken van </w:t>
      </w:r>
      <w:r w:rsidRPr="00F7388E">
        <w:rPr>
          <w:rFonts w:eastAsia="Verdana" w:cs="Verdana"/>
          <w:i/>
          <w:iCs/>
        </w:rPr>
        <w:t>accountability</w:t>
      </w:r>
      <w:r w:rsidRPr="00F7388E">
        <w:rPr>
          <w:rFonts w:eastAsia="Verdana" w:cs="Verdana"/>
        </w:rPr>
        <w:t xml:space="preserve"> en de </w:t>
      </w:r>
      <w:r w:rsidRPr="00F7388E">
        <w:rPr>
          <w:rFonts w:eastAsia="Verdana" w:cs="Verdana"/>
          <w:i/>
          <w:iCs/>
        </w:rPr>
        <w:t>rule of law.</w:t>
      </w:r>
    </w:p>
    <w:p w14:paraId="49555F7F" w14:textId="77777777" w:rsidR="003458FF" w:rsidRPr="00343B4C" w:rsidRDefault="003458FF" w:rsidP="00343B4C">
      <w:pPr>
        <w:pStyle w:val="ListParagraph"/>
        <w:numPr>
          <w:ilvl w:val="0"/>
          <w:numId w:val="44"/>
        </w:numPr>
        <w:rPr>
          <w:rFonts w:eastAsia="Arial Unicode MS"/>
        </w:rPr>
      </w:pPr>
      <w:r w:rsidRPr="00F7388E">
        <w:rPr>
          <w:rFonts w:eastAsia="Verdana" w:cs="Verdana"/>
        </w:rPr>
        <w:t>Integreren van mensenrechten op het terrein van ontwikkeling en economie.</w:t>
      </w:r>
    </w:p>
    <w:p w14:paraId="6B3D5B15" w14:textId="77777777" w:rsidR="003458FF" w:rsidRPr="00343B4C" w:rsidRDefault="003458FF" w:rsidP="00343B4C">
      <w:pPr>
        <w:pStyle w:val="ListParagraph"/>
        <w:numPr>
          <w:ilvl w:val="0"/>
          <w:numId w:val="44"/>
        </w:numPr>
        <w:rPr>
          <w:rFonts w:eastAsia="Arial Unicode MS"/>
        </w:rPr>
      </w:pPr>
      <w:r w:rsidRPr="00F7388E">
        <w:rPr>
          <w:rFonts w:eastAsia="Verdana" w:cs="Verdana"/>
        </w:rPr>
        <w:t>Verbreden van de democratische ruimte.</w:t>
      </w:r>
    </w:p>
    <w:p w14:paraId="2BDC2D91" w14:textId="77777777" w:rsidR="003458FF" w:rsidRPr="00343B4C" w:rsidRDefault="003458FF" w:rsidP="00343B4C">
      <w:pPr>
        <w:pStyle w:val="ListParagraph"/>
        <w:numPr>
          <w:ilvl w:val="0"/>
          <w:numId w:val="44"/>
        </w:numPr>
        <w:rPr>
          <w:rFonts w:eastAsia="Arial Unicode MS"/>
        </w:rPr>
      </w:pPr>
      <w:r w:rsidRPr="00F7388E">
        <w:rPr>
          <w:rFonts w:eastAsia="Verdana" w:cs="Verdana"/>
          <w:i/>
          <w:iCs/>
        </w:rPr>
        <w:t>Early warning</w:t>
      </w:r>
      <w:r w:rsidRPr="00F7388E">
        <w:rPr>
          <w:rFonts w:eastAsia="Verdana" w:cs="Verdana"/>
        </w:rPr>
        <w:t xml:space="preserve"> en bescherming van mensenrechten in conflictsituaties en gewelddadige en onveilige situaties. </w:t>
      </w:r>
    </w:p>
    <w:p w14:paraId="216B4B33" w14:textId="77777777" w:rsidR="003458FF" w:rsidRPr="00C3632C" w:rsidRDefault="003458FF" w:rsidP="00CF3D6A">
      <w:pPr>
        <w:rPr>
          <w:rFonts w:eastAsia="Arial Unicode MS"/>
        </w:rPr>
      </w:pPr>
    </w:p>
    <w:p w14:paraId="4D974954" w14:textId="77777777" w:rsidR="009E6741" w:rsidRPr="005A6060" w:rsidRDefault="009E6741" w:rsidP="00A14CA2">
      <w:pPr>
        <w:spacing w:line="240" w:lineRule="auto"/>
        <w:rPr>
          <w:rFonts w:eastAsia="Arial Unicode MS"/>
          <w:szCs w:val="18"/>
        </w:rPr>
      </w:pPr>
    </w:p>
    <w:p w14:paraId="4D974955" w14:textId="06EDEE11" w:rsidR="00D745A7" w:rsidRDefault="00CF3D6A" w:rsidP="00F24A31">
      <w:pPr>
        <w:pStyle w:val="Heading2"/>
        <w:tabs>
          <w:tab w:val="left" w:pos="-1162"/>
          <w:tab w:val="left" w:pos="0"/>
          <w:tab w:val="num" w:pos="1160"/>
        </w:tabs>
        <w:spacing w:line="240" w:lineRule="auto"/>
        <w:ind w:hanging="1162"/>
      </w:pPr>
      <w:bookmarkStart w:id="27" w:name="_Toc491259066"/>
      <w:r>
        <w:t>3</w:t>
      </w:r>
      <w:r w:rsidR="00F24A31">
        <w:t xml:space="preserve">.3 </w:t>
      </w:r>
      <w:r w:rsidR="00F24A31">
        <w:tab/>
      </w:r>
      <w:r w:rsidR="00D745A7">
        <w:t xml:space="preserve">Nederlandse </w:t>
      </w:r>
      <w:r w:rsidR="000304C1">
        <w:t>rol en invloed</w:t>
      </w:r>
      <w:bookmarkEnd w:id="27"/>
    </w:p>
    <w:p w14:paraId="4D974957" w14:textId="31FAD7ED" w:rsidR="005A1C0A" w:rsidRDefault="00A14CA2" w:rsidP="00A14CA2">
      <w:r>
        <w:t xml:space="preserve">Door het lidmaatschap van Nederland van de Mensenrechtenraad (2015-2017) en de actieve inzet van het Koninkrijk in deze raad, is ons land </w:t>
      </w:r>
      <w:r w:rsidRPr="00E47E3B">
        <w:t xml:space="preserve">een belangrijke speler </w:t>
      </w:r>
      <w:r>
        <w:t>bij het beschermen en bevorderen</w:t>
      </w:r>
      <w:r w:rsidRPr="00E47E3B">
        <w:t xml:space="preserve"> van</w:t>
      </w:r>
      <w:r>
        <w:t xml:space="preserve"> de rechten van de mens</w:t>
      </w:r>
      <w:r w:rsidRPr="00E47E3B">
        <w:t xml:space="preserve">. </w:t>
      </w:r>
      <w:r>
        <w:t xml:space="preserve">Bovendien </w:t>
      </w:r>
      <w:r w:rsidR="005A1C0A">
        <w:t xml:space="preserve">stond </w:t>
      </w:r>
      <w:r>
        <w:t xml:space="preserve">Nederland in </w:t>
      </w:r>
      <w:r w:rsidR="005A1C0A">
        <w:t xml:space="preserve">2015 in </w:t>
      </w:r>
      <w:r>
        <w:t xml:space="preserve">de </w:t>
      </w:r>
      <w:r w:rsidRPr="005A1C0A">
        <w:t>top 5</w:t>
      </w:r>
      <w:r w:rsidRPr="005A54E1">
        <w:rPr>
          <w:b/>
        </w:rPr>
        <w:t xml:space="preserve"> </w:t>
      </w:r>
      <w:r>
        <w:t>van grootste vrijwillige donoren van OHCHR.</w:t>
      </w:r>
      <w:r w:rsidR="40D6BEE0">
        <w:t xml:space="preserve"> in 2016 staat Nederland op de 6e plek. Nederland heeft in 2016 </w:t>
      </w:r>
      <w:r w:rsidR="00794FE6">
        <w:t xml:space="preserve">USD 9.466.798 gedoneerd, waarvan USD </w:t>
      </w:r>
      <w:r w:rsidR="40D6BEE0">
        <w:t>5.549.390</w:t>
      </w:r>
      <w:r>
        <w:t xml:space="preserve"> </w:t>
      </w:r>
      <w:r w:rsidR="00FD6DC6">
        <w:rPr>
          <w:i/>
        </w:rPr>
        <w:t>core</w:t>
      </w:r>
      <w:r w:rsidR="40D6BEE0">
        <w:t>.</w:t>
      </w:r>
    </w:p>
    <w:p w14:paraId="4D974958" w14:textId="77777777" w:rsidR="002007E8" w:rsidRDefault="002007E8" w:rsidP="005A1C0A"/>
    <w:p w14:paraId="4D974959" w14:textId="21F205F2" w:rsidR="005A1C0A" w:rsidRPr="00E47E3B" w:rsidRDefault="005A1C0A" w:rsidP="005A1C0A">
      <w:r>
        <w:t>Alle VN-lidstaten onderhouden individuele contacten met de organisatie.</w:t>
      </w:r>
      <w:r w:rsidR="002007E8">
        <w:t xml:space="preserve"> D</w:t>
      </w:r>
      <w:r w:rsidR="002007E8" w:rsidRPr="00E47E3B">
        <w:t xml:space="preserve">e Permanente </w:t>
      </w:r>
      <w:r w:rsidR="002007E8">
        <w:t>Vertegenwoordiging</w:t>
      </w:r>
      <w:r w:rsidR="002007E8" w:rsidRPr="00E47E3B">
        <w:t xml:space="preserve"> </w:t>
      </w:r>
      <w:r w:rsidR="002007E8">
        <w:t>in Genève onderhoudt de dagelijkse contacten met</w:t>
      </w:r>
      <w:r w:rsidR="002007E8" w:rsidRPr="00E47E3B">
        <w:t xml:space="preserve"> </w:t>
      </w:r>
      <w:r w:rsidR="002007E8">
        <w:t xml:space="preserve">het </w:t>
      </w:r>
      <w:r w:rsidR="002007E8" w:rsidRPr="00E47E3B">
        <w:t>OHCHR</w:t>
      </w:r>
      <w:r w:rsidR="002007E8">
        <w:t xml:space="preserve"> namens NL</w:t>
      </w:r>
      <w:r w:rsidR="002007E8" w:rsidRPr="00E47E3B">
        <w:t xml:space="preserve">. </w:t>
      </w:r>
      <w:r w:rsidR="00422A39">
        <w:t>Er is</w:t>
      </w:r>
      <w:r>
        <w:t xml:space="preserve"> </w:t>
      </w:r>
      <w:r w:rsidR="002007E8">
        <w:t>bovendien</w:t>
      </w:r>
      <w:r>
        <w:t xml:space="preserve"> regelmatig contact tussen de g</w:t>
      </w:r>
      <w:r w:rsidR="00794FE6">
        <w:t>elijkgestemde</w:t>
      </w:r>
      <w:r>
        <w:t xml:space="preserve"> donoren</w:t>
      </w:r>
      <w:r w:rsidR="004C2B81">
        <w:t xml:space="preserve">, zoals met </w:t>
      </w:r>
      <w:r>
        <w:t>Denemarken</w:t>
      </w:r>
      <w:r w:rsidR="00794FE6">
        <w:t xml:space="preserve"> (USD</w:t>
      </w:r>
      <w:r w:rsidR="40D6BEE0">
        <w:t xml:space="preserve"> 4.393,030)</w:t>
      </w:r>
      <w:r>
        <w:t>, Verenigd Koninkrijk</w:t>
      </w:r>
      <w:r w:rsidR="00794FE6">
        <w:t xml:space="preserve"> (USD </w:t>
      </w:r>
      <w:r w:rsidR="40D6BEE0">
        <w:t>5.508.247)</w:t>
      </w:r>
      <w:r>
        <w:t xml:space="preserve">, Finland </w:t>
      </w:r>
      <w:r w:rsidR="00794FE6">
        <w:t xml:space="preserve">(USD </w:t>
      </w:r>
      <w:r w:rsidR="40D6BEE0">
        <w:t xml:space="preserve">11.941.295) </w:t>
      </w:r>
      <w:r>
        <w:t>en Zweden</w:t>
      </w:r>
      <w:r w:rsidR="00794FE6">
        <w:t xml:space="preserve"> </w:t>
      </w:r>
      <w:r w:rsidR="40D6BEE0">
        <w:t>(</w:t>
      </w:r>
      <w:r w:rsidR="00794FE6">
        <w:t xml:space="preserve">USD </w:t>
      </w:r>
      <w:r w:rsidR="40D6BEE0">
        <w:t>11.941.29</w:t>
      </w:r>
      <w:r w:rsidR="00794FE6">
        <w:t>0</w:t>
      </w:r>
      <w:r w:rsidR="40D6BEE0">
        <w:t>)</w:t>
      </w:r>
      <w:r w:rsidR="00F509A5">
        <w:t>, over het functioneren van OHCHR</w:t>
      </w:r>
      <w:r>
        <w:t xml:space="preserve">. </w:t>
      </w:r>
    </w:p>
    <w:p w14:paraId="4D97495A" w14:textId="77777777" w:rsidR="00A14CA2" w:rsidRPr="00A14CA2" w:rsidRDefault="00A14CA2" w:rsidP="00A14CA2">
      <w:pPr>
        <w:ind w:left="227"/>
        <w:rPr>
          <w:color w:val="FF0000"/>
        </w:rPr>
      </w:pPr>
    </w:p>
    <w:p w14:paraId="4D97495B" w14:textId="05A62661" w:rsidR="00D745A7" w:rsidRDefault="00CF3D6A" w:rsidP="00F24A31">
      <w:pPr>
        <w:pStyle w:val="Heading2"/>
        <w:tabs>
          <w:tab w:val="left" w:pos="-1162"/>
          <w:tab w:val="left" w:pos="0"/>
          <w:tab w:val="num" w:pos="1160"/>
        </w:tabs>
        <w:spacing w:line="240" w:lineRule="auto"/>
        <w:ind w:hanging="1162"/>
      </w:pPr>
      <w:bookmarkStart w:id="28" w:name="_Toc491259067"/>
      <w:r>
        <w:t>3</w:t>
      </w:r>
      <w:r w:rsidR="00F24A31">
        <w:t>.4</w:t>
      </w:r>
      <w:r w:rsidR="40D6BEE0">
        <w:t xml:space="preserve"> </w:t>
      </w:r>
      <w:r w:rsidR="00F24A31">
        <w:tab/>
      </w:r>
      <w:r w:rsidR="00D745A7">
        <w:t>Financiële omvang en bijdragen</w:t>
      </w:r>
      <w:bookmarkEnd w:id="28"/>
    </w:p>
    <w:p w14:paraId="4D97495D" w14:textId="316FF264" w:rsidR="00A14CA2" w:rsidRDefault="00A14CA2" w:rsidP="00A14CA2">
      <w:pPr>
        <w:rPr>
          <w:rFonts w:eastAsia="Arial Unicode MS"/>
          <w:szCs w:val="18"/>
        </w:rPr>
      </w:pPr>
      <w:r>
        <w:t>Het budget van OHCHR komt gedeeltelijk uit het reguliere budget van de Verenigde Natie</w:t>
      </w:r>
      <w:r w:rsidRPr="00B872A4">
        <w:t xml:space="preserve">s. </w:t>
      </w:r>
      <w:r w:rsidR="00946D38" w:rsidRPr="00B872A4">
        <w:t xml:space="preserve">Deze bijdrage dekt </w:t>
      </w:r>
      <w:r w:rsidR="00B872A4">
        <w:t>ruim 40</w:t>
      </w:r>
      <w:r w:rsidRPr="00B872A4">
        <w:t xml:space="preserve"> procent</w:t>
      </w:r>
      <w:r w:rsidR="00B872A4">
        <w:t xml:space="preserve"> van het totale</w:t>
      </w:r>
      <w:r w:rsidR="00946D38" w:rsidRPr="00B872A4">
        <w:t xml:space="preserve"> budget. </w:t>
      </w:r>
      <w:r w:rsidR="00B872A4">
        <w:t>Bijna 60</w:t>
      </w:r>
      <w:r w:rsidR="00946D38">
        <w:t xml:space="preserve"> procent is</w:t>
      </w:r>
      <w:r>
        <w:t xml:space="preserve"> afkomstig van vrijwillige bijdragen van donoren</w:t>
      </w:r>
      <w:r w:rsidR="00F509A5">
        <w:t>.</w:t>
      </w:r>
      <w:r>
        <w:rPr>
          <w:rFonts w:eastAsia="Arial Unicode MS"/>
          <w:szCs w:val="18"/>
        </w:rPr>
        <w:t xml:space="preserve"> Het</w:t>
      </w:r>
      <w:r w:rsidRPr="00E914F6">
        <w:rPr>
          <w:rFonts w:eastAsia="Arial Unicode MS"/>
          <w:szCs w:val="18"/>
        </w:rPr>
        <w:t xml:space="preserve"> OHCHR ontvangt dus geen vaste jaarlijkse contributies van VN-lidstaten.</w:t>
      </w:r>
      <w:r w:rsidR="00650EE8">
        <w:rPr>
          <w:rFonts w:eastAsia="Arial Unicode MS"/>
          <w:szCs w:val="18"/>
        </w:rPr>
        <w:t xml:space="preserve"> De afhankelijkheid van donoren kenmerkt de </w:t>
      </w:r>
      <w:r w:rsidR="008C3AF9">
        <w:rPr>
          <w:rFonts w:eastAsia="Arial Unicode MS"/>
          <w:szCs w:val="18"/>
        </w:rPr>
        <w:t>kwetsbare</w:t>
      </w:r>
      <w:r w:rsidR="00650EE8">
        <w:rPr>
          <w:rFonts w:eastAsia="Arial Unicode MS"/>
          <w:szCs w:val="18"/>
        </w:rPr>
        <w:t xml:space="preserve"> situatie van de organisatie</w:t>
      </w:r>
      <w:r w:rsidR="0000086C">
        <w:rPr>
          <w:rFonts w:eastAsia="Arial Unicode MS"/>
          <w:szCs w:val="18"/>
        </w:rPr>
        <w:t xml:space="preserve">. </w:t>
      </w:r>
      <w:r w:rsidR="00314129">
        <w:rPr>
          <w:rFonts w:eastAsia="Arial Unicode MS"/>
          <w:szCs w:val="18"/>
        </w:rPr>
        <w:t>H</w:t>
      </w:r>
      <w:r w:rsidR="00650EE8">
        <w:rPr>
          <w:rFonts w:eastAsia="Arial Unicode MS"/>
          <w:szCs w:val="18"/>
        </w:rPr>
        <w:t xml:space="preserve">et </w:t>
      </w:r>
      <w:r w:rsidR="0000086C">
        <w:rPr>
          <w:rFonts w:eastAsia="Arial Unicode MS"/>
          <w:szCs w:val="18"/>
        </w:rPr>
        <w:t xml:space="preserve">benodigde budget dat is weergegeven in het Jaarlijkse Appeal van </w:t>
      </w:r>
      <w:r w:rsidR="00650EE8">
        <w:rPr>
          <w:rFonts w:eastAsia="Arial Unicode MS"/>
          <w:szCs w:val="18"/>
        </w:rPr>
        <w:t xml:space="preserve">OHCHR </w:t>
      </w:r>
      <w:r w:rsidR="00314129">
        <w:rPr>
          <w:rStyle w:val="CommentReference"/>
        </w:rPr>
        <w:t>i</w:t>
      </w:r>
      <w:r w:rsidR="0000086C">
        <w:rPr>
          <w:rFonts w:eastAsia="Arial Unicode MS"/>
          <w:szCs w:val="18"/>
        </w:rPr>
        <w:t>s</w:t>
      </w:r>
      <w:r w:rsidR="00650EE8">
        <w:rPr>
          <w:rFonts w:eastAsia="Arial Unicode MS"/>
          <w:szCs w:val="18"/>
        </w:rPr>
        <w:t xml:space="preserve"> hoger is dan de inkomsten</w:t>
      </w:r>
      <w:r w:rsidR="0000086C">
        <w:rPr>
          <w:rFonts w:eastAsia="Arial Unicode MS"/>
          <w:szCs w:val="18"/>
        </w:rPr>
        <w:t xml:space="preserve"> die worden verkregen uit de vrijwillige bijdragen</w:t>
      </w:r>
      <w:r w:rsidR="00650EE8">
        <w:rPr>
          <w:rFonts w:eastAsia="Arial Unicode MS"/>
          <w:szCs w:val="18"/>
        </w:rPr>
        <w:t>.</w:t>
      </w:r>
    </w:p>
    <w:p w14:paraId="4D97495E" w14:textId="77777777" w:rsidR="00F15237" w:rsidRPr="00DA17E2" w:rsidRDefault="00F15237" w:rsidP="00A14CA2">
      <w:pPr>
        <w:rPr>
          <w:rFonts w:eastAsia="Arial Unicode MS"/>
          <w:szCs w:val="18"/>
        </w:rPr>
      </w:pPr>
    </w:p>
    <w:p w14:paraId="4D974960" w14:textId="52F2B12D" w:rsidR="00422A39" w:rsidRDefault="0000086C" w:rsidP="00422A39">
      <w:bookmarkStart w:id="29" w:name="titel"/>
      <w:r>
        <w:rPr>
          <w:rFonts w:eastAsia="Arial Unicode MS"/>
          <w:szCs w:val="18"/>
        </w:rPr>
        <w:t>In het</w:t>
      </w:r>
      <w:r w:rsidR="00314129">
        <w:rPr>
          <w:rFonts w:eastAsia="Arial Unicode MS"/>
          <w:szCs w:val="18"/>
        </w:rPr>
        <w:t xml:space="preserve"> </w:t>
      </w:r>
      <w:r w:rsidR="00A14CA2" w:rsidRPr="00883E67">
        <w:rPr>
          <w:rFonts w:eastAsia="Arial Unicode MS"/>
          <w:i/>
          <w:szCs w:val="18"/>
        </w:rPr>
        <w:t xml:space="preserve">Human Rights Appeal </w:t>
      </w:r>
      <w:r w:rsidR="004F7FA2">
        <w:rPr>
          <w:rFonts w:eastAsia="Arial Unicode MS"/>
          <w:szCs w:val="18"/>
        </w:rPr>
        <w:t>2017</w:t>
      </w:r>
      <w:r w:rsidR="00F15237">
        <w:rPr>
          <w:rFonts w:eastAsia="Arial Unicode MS"/>
          <w:szCs w:val="18"/>
        </w:rPr>
        <w:t xml:space="preserve"> van de OHCHR</w:t>
      </w:r>
      <w:r w:rsidR="004F7FA2">
        <w:rPr>
          <w:rFonts w:eastAsia="Arial Unicode MS"/>
          <w:szCs w:val="18"/>
        </w:rPr>
        <w:t xml:space="preserve"> </w:t>
      </w:r>
      <w:r>
        <w:rPr>
          <w:rFonts w:eastAsia="Arial Unicode MS"/>
          <w:szCs w:val="18"/>
        </w:rPr>
        <w:t>is een</w:t>
      </w:r>
      <w:r w:rsidR="002A5D79">
        <w:rPr>
          <w:rFonts w:eastAsia="Arial Unicode MS"/>
          <w:szCs w:val="18"/>
        </w:rPr>
        <w:t xml:space="preserve"> </w:t>
      </w:r>
      <w:r w:rsidR="004F23A0">
        <w:rPr>
          <w:rFonts w:eastAsia="Arial Unicode MS"/>
          <w:szCs w:val="18"/>
        </w:rPr>
        <w:t>begroting opgesteld</w:t>
      </w:r>
      <w:r>
        <w:rPr>
          <w:rFonts w:eastAsia="Arial Unicode MS"/>
          <w:szCs w:val="18"/>
        </w:rPr>
        <w:t xml:space="preserve"> </w:t>
      </w:r>
      <w:r w:rsidR="004F7FA2">
        <w:rPr>
          <w:rFonts w:eastAsia="Arial Unicode MS"/>
          <w:szCs w:val="18"/>
        </w:rPr>
        <w:t>van USD 2</w:t>
      </w:r>
      <w:r w:rsidR="002A5D79">
        <w:rPr>
          <w:rFonts w:eastAsia="Arial Unicode MS"/>
          <w:szCs w:val="18"/>
        </w:rPr>
        <w:t>52</w:t>
      </w:r>
      <w:r w:rsidR="00A14CA2">
        <w:rPr>
          <w:rFonts w:eastAsia="Arial Unicode MS"/>
          <w:szCs w:val="18"/>
        </w:rPr>
        <w:t>,</w:t>
      </w:r>
      <w:r w:rsidR="002A5D79">
        <w:rPr>
          <w:rFonts w:eastAsia="Arial Unicode MS"/>
          <w:szCs w:val="18"/>
        </w:rPr>
        <w:t>9</w:t>
      </w:r>
      <w:r w:rsidR="00A14CA2">
        <w:rPr>
          <w:rFonts w:eastAsia="Arial Unicode MS"/>
          <w:szCs w:val="18"/>
        </w:rPr>
        <w:t xml:space="preserve"> miljoen</w:t>
      </w:r>
      <w:r w:rsidR="004F23A0">
        <w:rPr>
          <w:rFonts w:eastAsia="Arial Unicode MS"/>
          <w:szCs w:val="18"/>
        </w:rPr>
        <w:t>. Deze begroting is nodig</w:t>
      </w:r>
      <w:r w:rsidR="00314129">
        <w:rPr>
          <w:rFonts w:eastAsia="Arial Unicode MS"/>
          <w:szCs w:val="18"/>
        </w:rPr>
        <w:t xml:space="preserve"> </w:t>
      </w:r>
      <w:r w:rsidR="00A14CA2">
        <w:rPr>
          <w:rFonts w:eastAsia="Arial Unicode MS"/>
          <w:szCs w:val="18"/>
        </w:rPr>
        <w:t>om</w:t>
      </w:r>
      <w:r w:rsidR="003458FF">
        <w:rPr>
          <w:rFonts w:eastAsia="Arial Unicode MS"/>
          <w:szCs w:val="18"/>
        </w:rPr>
        <w:t xml:space="preserve"> het volledige</w:t>
      </w:r>
      <w:r w:rsidR="00A14CA2">
        <w:rPr>
          <w:rFonts w:eastAsia="Arial Unicode MS"/>
          <w:szCs w:val="18"/>
        </w:rPr>
        <w:t xml:space="preserve"> mensenrechtenprogramma in 2017</w:t>
      </w:r>
      <w:r w:rsidR="003458FF">
        <w:rPr>
          <w:rFonts w:eastAsia="Arial Unicode MS"/>
          <w:szCs w:val="18"/>
        </w:rPr>
        <w:t xml:space="preserve"> te</w:t>
      </w:r>
      <w:r>
        <w:rPr>
          <w:rFonts w:eastAsia="Arial Unicode MS"/>
          <w:szCs w:val="18"/>
        </w:rPr>
        <w:t xml:space="preserve"> kunnen</w:t>
      </w:r>
      <w:r w:rsidR="003458FF">
        <w:rPr>
          <w:rFonts w:eastAsia="Arial Unicode MS"/>
          <w:szCs w:val="18"/>
        </w:rPr>
        <w:t xml:space="preserve"> financieren</w:t>
      </w:r>
      <w:r w:rsidR="00A14CA2">
        <w:rPr>
          <w:rFonts w:eastAsia="Arial Unicode MS"/>
          <w:szCs w:val="18"/>
        </w:rPr>
        <w:t>.</w:t>
      </w:r>
      <w:bookmarkEnd w:id="29"/>
    </w:p>
    <w:p w14:paraId="0F6D7D03" w14:textId="77777777" w:rsidR="00314129" w:rsidRDefault="00314129" w:rsidP="00422A39"/>
    <w:p w14:paraId="4D974961" w14:textId="753CFBC7" w:rsidR="00422A39" w:rsidRDefault="00422A39" w:rsidP="00422A39">
      <w:r>
        <w:t>Toezicht op de financiën en het management van het OHCHR vindt plaats in de 5</w:t>
      </w:r>
      <w:r w:rsidRPr="00B06A5C">
        <w:rPr>
          <w:vertAlign w:val="superscript"/>
        </w:rPr>
        <w:t>e</w:t>
      </w:r>
      <w:r>
        <w:t xml:space="preserve"> Commissie van de Algemene Vergadering van de Verenigde Naties in New York. </w:t>
      </w:r>
      <w:r>
        <w:lastRenderedPageBreak/>
        <w:t>Voordat de begroting naar de 5</w:t>
      </w:r>
      <w:r w:rsidRPr="008C3AF9">
        <w:rPr>
          <w:vertAlign w:val="superscript"/>
        </w:rPr>
        <w:t>de</w:t>
      </w:r>
      <w:r>
        <w:t xml:space="preserve"> Commissie gaat </w:t>
      </w:r>
      <w:r w:rsidR="001F0F20">
        <w:t xml:space="preserve">geeft </w:t>
      </w:r>
      <w:r>
        <w:t xml:space="preserve">de </w:t>
      </w:r>
      <w:r w:rsidR="001F0F20">
        <w:rPr>
          <w:i/>
        </w:rPr>
        <w:t xml:space="preserve">Advisory Committee on Administrative and Budgetary Questions </w:t>
      </w:r>
      <w:r w:rsidR="00F44C9C">
        <w:t>(</w:t>
      </w:r>
      <w:r>
        <w:t>ACABQ</w:t>
      </w:r>
      <w:r w:rsidR="00F44C9C">
        <w:t>)</w:t>
      </w:r>
      <w:r>
        <w:t xml:space="preserve"> </w:t>
      </w:r>
      <w:r w:rsidR="001F0F20">
        <w:t>van de VN een technisch advies</w:t>
      </w:r>
      <w:r>
        <w:t xml:space="preserve">. </w:t>
      </w:r>
    </w:p>
    <w:p w14:paraId="4D974962" w14:textId="77777777" w:rsidR="005A1C0A" w:rsidRPr="00A871C2" w:rsidRDefault="005A1C0A" w:rsidP="00BE458E">
      <w:pPr>
        <w:rPr>
          <w:rFonts w:eastAsia="Arial Unicode MS"/>
          <w:szCs w:val="18"/>
        </w:rPr>
      </w:pPr>
    </w:p>
    <w:p w14:paraId="60FD5AFB" w14:textId="2EC058E4" w:rsidR="001C3A3F" w:rsidRDefault="00BE458E" w:rsidP="005150FC">
      <w:r>
        <w:t xml:space="preserve">Financieel Overzicht </w:t>
      </w:r>
      <w:r w:rsidR="005150FC">
        <w:t>(bedragen in USD miljoen)</w:t>
      </w:r>
    </w:p>
    <w:p w14:paraId="241EF3E7" w14:textId="77777777" w:rsidR="001C3A3F" w:rsidRDefault="001C3A3F" w:rsidP="005150FC"/>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172"/>
        <w:gridCol w:w="1196"/>
        <w:gridCol w:w="1182"/>
        <w:gridCol w:w="1672"/>
        <w:gridCol w:w="1194"/>
        <w:gridCol w:w="1281"/>
      </w:tblGrid>
      <w:tr w:rsidR="005150FC" w14:paraId="4D974968" w14:textId="77777777" w:rsidTr="001C3A3F">
        <w:tc>
          <w:tcPr>
            <w:tcW w:w="793" w:type="pct"/>
            <w:tcBorders>
              <w:top w:val="single" w:sz="12" w:space="0" w:color="auto"/>
              <w:bottom w:val="single" w:sz="6" w:space="0" w:color="auto"/>
            </w:tcBorders>
            <w:shd w:val="clear" w:color="auto" w:fill="D9D9D9" w:themeFill="background1" w:themeFillShade="D9"/>
          </w:tcPr>
          <w:p w14:paraId="4D974965" w14:textId="77777777" w:rsidR="005150FC" w:rsidRDefault="005150FC" w:rsidP="005150FC"/>
        </w:tc>
        <w:tc>
          <w:tcPr>
            <w:tcW w:w="3412" w:type="pct"/>
            <w:gridSpan w:val="4"/>
            <w:tcBorders>
              <w:top w:val="single" w:sz="12" w:space="0" w:color="auto"/>
              <w:bottom w:val="single" w:sz="6" w:space="0" w:color="auto"/>
            </w:tcBorders>
            <w:shd w:val="clear" w:color="auto" w:fill="D9D9D9" w:themeFill="background1" w:themeFillShade="D9"/>
            <w:hideMark/>
          </w:tcPr>
          <w:p w14:paraId="4D974966" w14:textId="77777777" w:rsidR="005150FC" w:rsidRDefault="005150FC" w:rsidP="005150FC">
            <w:pPr>
              <w:jc w:val="center"/>
              <w:rPr>
                <w:b/>
              </w:rPr>
            </w:pPr>
            <w:r>
              <w:rPr>
                <w:b/>
              </w:rPr>
              <w:t>Inkomsten</w:t>
            </w:r>
          </w:p>
        </w:tc>
        <w:tc>
          <w:tcPr>
            <w:tcW w:w="795" w:type="pct"/>
            <w:tcBorders>
              <w:top w:val="single" w:sz="12" w:space="0" w:color="auto"/>
              <w:bottom w:val="single" w:sz="6" w:space="0" w:color="auto"/>
            </w:tcBorders>
            <w:shd w:val="clear" w:color="auto" w:fill="D9D9D9" w:themeFill="background1" w:themeFillShade="D9"/>
            <w:hideMark/>
          </w:tcPr>
          <w:p w14:paraId="4D974967" w14:textId="77777777" w:rsidR="005150FC" w:rsidRDefault="005150FC" w:rsidP="005150FC">
            <w:pPr>
              <w:jc w:val="right"/>
              <w:rPr>
                <w:b/>
              </w:rPr>
            </w:pPr>
            <w:r>
              <w:rPr>
                <w:b/>
              </w:rPr>
              <w:t>Uitgaven</w:t>
            </w:r>
          </w:p>
        </w:tc>
      </w:tr>
      <w:tr w:rsidR="005150FC" w14:paraId="4D97496E" w14:textId="77777777" w:rsidTr="001C3A3F">
        <w:tc>
          <w:tcPr>
            <w:tcW w:w="793" w:type="pct"/>
            <w:tcBorders>
              <w:top w:val="single" w:sz="6" w:space="0" w:color="auto"/>
              <w:bottom w:val="single" w:sz="12" w:space="0" w:color="auto"/>
            </w:tcBorders>
            <w:shd w:val="clear" w:color="auto" w:fill="D9D9D9" w:themeFill="background1" w:themeFillShade="D9"/>
            <w:hideMark/>
          </w:tcPr>
          <w:p w14:paraId="4D974969" w14:textId="77777777" w:rsidR="005150FC" w:rsidRDefault="0059680A" w:rsidP="005150FC">
            <w:pPr>
              <w:rPr>
                <w:i/>
              </w:rPr>
            </w:pPr>
            <w:r>
              <w:rPr>
                <w:i/>
              </w:rPr>
              <w:t>Jaar</w:t>
            </w:r>
          </w:p>
        </w:tc>
        <w:tc>
          <w:tcPr>
            <w:tcW w:w="793" w:type="pct"/>
            <w:tcBorders>
              <w:top w:val="single" w:sz="6" w:space="0" w:color="auto"/>
              <w:bottom w:val="single" w:sz="12" w:space="0" w:color="auto"/>
            </w:tcBorders>
            <w:shd w:val="clear" w:color="auto" w:fill="D9D9D9" w:themeFill="background1" w:themeFillShade="D9"/>
            <w:hideMark/>
          </w:tcPr>
          <w:p w14:paraId="4D97496A" w14:textId="77777777" w:rsidR="005150FC" w:rsidRDefault="005150FC" w:rsidP="005150FC">
            <w:pPr>
              <w:rPr>
                <w:i/>
              </w:rPr>
            </w:pPr>
            <w:r>
              <w:rPr>
                <w:i/>
              </w:rPr>
              <w:t>Verplichte</w:t>
            </w:r>
          </w:p>
        </w:tc>
        <w:tc>
          <w:tcPr>
            <w:tcW w:w="1933" w:type="pct"/>
            <w:gridSpan w:val="2"/>
            <w:tcBorders>
              <w:top w:val="single" w:sz="6" w:space="0" w:color="auto"/>
              <w:bottom w:val="single" w:sz="12" w:space="0" w:color="auto"/>
            </w:tcBorders>
            <w:shd w:val="clear" w:color="auto" w:fill="D9D9D9" w:themeFill="background1" w:themeFillShade="D9"/>
            <w:hideMark/>
          </w:tcPr>
          <w:p w14:paraId="4D97496B" w14:textId="77777777" w:rsidR="005150FC" w:rsidRDefault="005150FC" w:rsidP="005150FC">
            <w:pPr>
              <w:jc w:val="center"/>
              <w:rPr>
                <w:i/>
              </w:rPr>
            </w:pPr>
            <w:r>
              <w:rPr>
                <w:i/>
              </w:rPr>
              <w:t>Vrijwillige bijdragen</w:t>
            </w:r>
          </w:p>
        </w:tc>
        <w:tc>
          <w:tcPr>
            <w:tcW w:w="686" w:type="pct"/>
            <w:tcBorders>
              <w:top w:val="single" w:sz="6" w:space="0" w:color="auto"/>
              <w:bottom w:val="single" w:sz="12" w:space="0" w:color="auto"/>
            </w:tcBorders>
            <w:shd w:val="clear" w:color="auto" w:fill="D9D9D9" w:themeFill="background1" w:themeFillShade="D9"/>
            <w:hideMark/>
          </w:tcPr>
          <w:p w14:paraId="4D97496C" w14:textId="77777777" w:rsidR="005150FC" w:rsidRDefault="005150FC" w:rsidP="005150FC">
            <w:pPr>
              <w:jc w:val="right"/>
              <w:rPr>
                <w:i/>
              </w:rPr>
            </w:pPr>
            <w:r>
              <w:rPr>
                <w:i/>
              </w:rPr>
              <w:t>Totaal</w:t>
            </w:r>
          </w:p>
        </w:tc>
        <w:tc>
          <w:tcPr>
            <w:tcW w:w="795" w:type="pct"/>
            <w:tcBorders>
              <w:top w:val="single" w:sz="6" w:space="0" w:color="auto"/>
              <w:bottom w:val="single" w:sz="12" w:space="0" w:color="auto"/>
            </w:tcBorders>
            <w:shd w:val="clear" w:color="auto" w:fill="D9D9D9" w:themeFill="background1" w:themeFillShade="D9"/>
            <w:hideMark/>
          </w:tcPr>
          <w:p w14:paraId="4D97496D" w14:textId="77777777" w:rsidR="005150FC" w:rsidRDefault="005150FC" w:rsidP="005150FC">
            <w:pPr>
              <w:jc w:val="right"/>
              <w:rPr>
                <w:i/>
              </w:rPr>
            </w:pPr>
            <w:r>
              <w:rPr>
                <w:i/>
              </w:rPr>
              <w:t>Totaal</w:t>
            </w:r>
          </w:p>
        </w:tc>
      </w:tr>
      <w:tr w:rsidR="005150FC" w14:paraId="4D974975" w14:textId="77777777" w:rsidTr="001C3A3F">
        <w:tc>
          <w:tcPr>
            <w:tcW w:w="793" w:type="pct"/>
            <w:tcBorders>
              <w:top w:val="single" w:sz="12" w:space="0" w:color="auto"/>
            </w:tcBorders>
            <w:hideMark/>
          </w:tcPr>
          <w:p w14:paraId="4D97496F" w14:textId="77777777" w:rsidR="005150FC" w:rsidRDefault="005150FC" w:rsidP="005150FC">
            <w:pPr>
              <w:rPr>
                <w:i/>
              </w:rPr>
            </w:pPr>
          </w:p>
        </w:tc>
        <w:tc>
          <w:tcPr>
            <w:tcW w:w="793" w:type="pct"/>
            <w:tcBorders>
              <w:top w:val="single" w:sz="12" w:space="0" w:color="auto"/>
            </w:tcBorders>
            <w:hideMark/>
          </w:tcPr>
          <w:p w14:paraId="4D974970" w14:textId="77777777" w:rsidR="005150FC" w:rsidRDefault="00F10B48" w:rsidP="005150FC">
            <w:pPr>
              <w:rPr>
                <w:i/>
              </w:rPr>
            </w:pPr>
            <w:r>
              <w:rPr>
                <w:i/>
              </w:rPr>
              <w:t>B</w:t>
            </w:r>
            <w:r w:rsidR="005150FC">
              <w:rPr>
                <w:i/>
              </w:rPr>
              <w:t>ijdragen</w:t>
            </w:r>
            <w:r>
              <w:rPr>
                <w:i/>
              </w:rPr>
              <w:t>*</w:t>
            </w:r>
          </w:p>
        </w:tc>
        <w:tc>
          <w:tcPr>
            <w:tcW w:w="815" w:type="pct"/>
            <w:tcBorders>
              <w:top w:val="single" w:sz="12" w:space="0" w:color="auto"/>
            </w:tcBorders>
            <w:hideMark/>
          </w:tcPr>
          <w:p w14:paraId="4D974971" w14:textId="601E7C59" w:rsidR="005150FC" w:rsidRDefault="00FD6DC6" w:rsidP="00FD6DC6">
            <w:pPr>
              <w:rPr>
                <w:i/>
              </w:rPr>
            </w:pPr>
            <w:r>
              <w:rPr>
                <w:i/>
              </w:rPr>
              <w:t>Non-core</w:t>
            </w:r>
          </w:p>
        </w:tc>
        <w:tc>
          <w:tcPr>
            <w:tcW w:w="1118" w:type="pct"/>
            <w:tcBorders>
              <w:top w:val="single" w:sz="12" w:space="0" w:color="auto"/>
            </w:tcBorders>
            <w:hideMark/>
          </w:tcPr>
          <w:p w14:paraId="4D974972" w14:textId="5839EA7F" w:rsidR="005150FC" w:rsidRDefault="00FD6DC6" w:rsidP="005150FC">
            <w:pPr>
              <w:rPr>
                <w:i/>
              </w:rPr>
            </w:pPr>
            <w:r>
              <w:rPr>
                <w:i/>
              </w:rPr>
              <w:t>Core</w:t>
            </w:r>
          </w:p>
        </w:tc>
        <w:tc>
          <w:tcPr>
            <w:tcW w:w="686" w:type="pct"/>
            <w:tcBorders>
              <w:top w:val="single" w:sz="12" w:space="0" w:color="auto"/>
            </w:tcBorders>
          </w:tcPr>
          <w:p w14:paraId="4D974973" w14:textId="77777777" w:rsidR="005150FC" w:rsidRDefault="005150FC" w:rsidP="005150FC">
            <w:pPr>
              <w:rPr>
                <w:i/>
              </w:rPr>
            </w:pPr>
          </w:p>
        </w:tc>
        <w:tc>
          <w:tcPr>
            <w:tcW w:w="795" w:type="pct"/>
            <w:tcBorders>
              <w:top w:val="single" w:sz="12" w:space="0" w:color="auto"/>
            </w:tcBorders>
          </w:tcPr>
          <w:p w14:paraId="4D974974" w14:textId="77777777" w:rsidR="005150FC" w:rsidRDefault="005150FC" w:rsidP="005150FC">
            <w:pPr>
              <w:rPr>
                <w:i/>
              </w:rPr>
            </w:pPr>
          </w:p>
        </w:tc>
      </w:tr>
      <w:tr w:rsidR="005150FC" w14:paraId="4D97497C" w14:textId="77777777" w:rsidTr="001C3A3F">
        <w:tc>
          <w:tcPr>
            <w:tcW w:w="793" w:type="pct"/>
            <w:hideMark/>
          </w:tcPr>
          <w:p w14:paraId="4D974976" w14:textId="77777777" w:rsidR="005150FC" w:rsidRDefault="003A1E73" w:rsidP="005150FC">
            <w:r>
              <w:t>201</w:t>
            </w:r>
            <w:r w:rsidR="00D85213">
              <w:t>4</w:t>
            </w:r>
          </w:p>
        </w:tc>
        <w:tc>
          <w:tcPr>
            <w:tcW w:w="793" w:type="pct"/>
          </w:tcPr>
          <w:p w14:paraId="4D974977" w14:textId="77777777" w:rsidR="005150FC" w:rsidRDefault="00F5145E" w:rsidP="0083535F">
            <w:pPr>
              <w:tabs>
                <w:tab w:val="decimal" w:pos="674"/>
              </w:tabs>
              <w:jc w:val="right"/>
            </w:pPr>
            <w:r>
              <w:t>105,4</w:t>
            </w:r>
          </w:p>
        </w:tc>
        <w:tc>
          <w:tcPr>
            <w:tcW w:w="815" w:type="pct"/>
          </w:tcPr>
          <w:p w14:paraId="4D974978" w14:textId="77777777" w:rsidR="005150FC" w:rsidRDefault="005763DA" w:rsidP="0083535F">
            <w:pPr>
              <w:tabs>
                <w:tab w:val="decimal" w:pos="780"/>
              </w:tabs>
              <w:jc w:val="right"/>
            </w:pPr>
            <w:r>
              <w:t>66,8</w:t>
            </w:r>
          </w:p>
        </w:tc>
        <w:tc>
          <w:tcPr>
            <w:tcW w:w="1118" w:type="pct"/>
          </w:tcPr>
          <w:p w14:paraId="4D974979" w14:textId="77777777" w:rsidR="005150FC" w:rsidRDefault="0083535F" w:rsidP="0083535F">
            <w:pPr>
              <w:tabs>
                <w:tab w:val="decimal" w:pos="887"/>
              </w:tabs>
              <w:jc w:val="right"/>
            </w:pPr>
            <w:r>
              <w:t>58,7</w:t>
            </w:r>
          </w:p>
        </w:tc>
        <w:tc>
          <w:tcPr>
            <w:tcW w:w="686" w:type="pct"/>
          </w:tcPr>
          <w:p w14:paraId="4D97497A" w14:textId="77777777" w:rsidR="005150FC" w:rsidRDefault="005763DA" w:rsidP="0083535F">
            <w:pPr>
              <w:tabs>
                <w:tab w:val="decimal" w:pos="743"/>
              </w:tabs>
              <w:jc w:val="right"/>
            </w:pPr>
            <w:r>
              <w:t>230,9</w:t>
            </w:r>
          </w:p>
        </w:tc>
        <w:tc>
          <w:tcPr>
            <w:tcW w:w="795" w:type="pct"/>
          </w:tcPr>
          <w:p w14:paraId="4D97497B" w14:textId="77777777" w:rsidR="005150FC" w:rsidRDefault="0083535F" w:rsidP="0083535F">
            <w:pPr>
              <w:tabs>
                <w:tab w:val="decimal" w:pos="885"/>
              </w:tabs>
              <w:jc w:val="right"/>
            </w:pPr>
            <w:r>
              <w:t>240,1</w:t>
            </w:r>
          </w:p>
        </w:tc>
      </w:tr>
      <w:tr w:rsidR="005150FC" w14:paraId="4D974983" w14:textId="77777777" w:rsidTr="001C3A3F">
        <w:tc>
          <w:tcPr>
            <w:tcW w:w="793" w:type="pct"/>
            <w:hideMark/>
          </w:tcPr>
          <w:p w14:paraId="4D97497D" w14:textId="77777777" w:rsidR="005150FC" w:rsidRDefault="003A1E73" w:rsidP="005150FC">
            <w:r>
              <w:t>201</w:t>
            </w:r>
            <w:r w:rsidR="00D85213">
              <w:t>5</w:t>
            </w:r>
          </w:p>
        </w:tc>
        <w:tc>
          <w:tcPr>
            <w:tcW w:w="793" w:type="pct"/>
          </w:tcPr>
          <w:p w14:paraId="4D97497E" w14:textId="77777777" w:rsidR="005150FC" w:rsidRDefault="0083535F" w:rsidP="0083535F">
            <w:pPr>
              <w:tabs>
                <w:tab w:val="decimal" w:pos="674"/>
              </w:tabs>
              <w:jc w:val="right"/>
            </w:pPr>
            <w:r>
              <w:t>107,</w:t>
            </w:r>
            <w:r w:rsidR="00F5145E">
              <w:t>6</w:t>
            </w:r>
          </w:p>
        </w:tc>
        <w:tc>
          <w:tcPr>
            <w:tcW w:w="815" w:type="pct"/>
          </w:tcPr>
          <w:p w14:paraId="4D97497F" w14:textId="77777777" w:rsidR="005150FC" w:rsidRDefault="00E2777A" w:rsidP="0083535F">
            <w:pPr>
              <w:tabs>
                <w:tab w:val="decimal" w:pos="780"/>
              </w:tabs>
              <w:jc w:val="right"/>
            </w:pPr>
            <w:r>
              <w:t>78,8</w:t>
            </w:r>
          </w:p>
        </w:tc>
        <w:tc>
          <w:tcPr>
            <w:tcW w:w="1118" w:type="pct"/>
          </w:tcPr>
          <w:p w14:paraId="4D974980" w14:textId="77777777" w:rsidR="005150FC" w:rsidRDefault="0083535F" w:rsidP="00F5145E">
            <w:pPr>
              <w:tabs>
                <w:tab w:val="decimal" w:pos="887"/>
              </w:tabs>
              <w:jc w:val="right"/>
            </w:pPr>
            <w:r>
              <w:t>47,</w:t>
            </w:r>
            <w:r w:rsidR="00F5145E">
              <w:t>1</w:t>
            </w:r>
          </w:p>
        </w:tc>
        <w:tc>
          <w:tcPr>
            <w:tcW w:w="686" w:type="pct"/>
          </w:tcPr>
          <w:p w14:paraId="4D974981" w14:textId="77777777" w:rsidR="005150FC" w:rsidRDefault="0083535F" w:rsidP="0083535F">
            <w:pPr>
              <w:tabs>
                <w:tab w:val="decimal" w:pos="743"/>
              </w:tabs>
              <w:jc w:val="right"/>
            </w:pPr>
            <w:r>
              <w:t>234,1</w:t>
            </w:r>
          </w:p>
        </w:tc>
        <w:tc>
          <w:tcPr>
            <w:tcW w:w="795" w:type="pct"/>
          </w:tcPr>
          <w:p w14:paraId="4D974982" w14:textId="77777777" w:rsidR="005150FC" w:rsidRDefault="0083535F" w:rsidP="0083535F">
            <w:pPr>
              <w:tabs>
                <w:tab w:val="decimal" w:pos="885"/>
              </w:tabs>
              <w:jc w:val="right"/>
            </w:pPr>
            <w:r>
              <w:t>232,5</w:t>
            </w:r>
          </w:p>
        </w:tc>
      </w:tr>
      <w:tr w:rsidR="005150FC" w14:paraId="4D97498A" w14:textId="77777777" w:rsidTr="001C3A3F">
        <w:tc>
          <w:tcPr>
            <w:tcW w:w="793" w:type="pct"/>
          </w:tcPr>
          <w:p w14:paraId="4D974984" w14:textId="77777777" w:rsidR="005150FC" w:rsidRDefault="003A1E73" w:rsidP="005150FC">
            <w:r>
              <w:t>201</w:t>
            </w:r>
            <w:r w:rsidR="00D85213">
              <w:t>6</w:t>
            </w:r>
          </w:p>
        </w:tc>
        <w:tc>
          <w:tcPr>
            <w:tcW w:w="793" w:type="pct"/>
          </w:tcPr>
          <w:p w14:paraId="4D974985" w14:textId="301CDB49" w:rsidR="005150FC" w:rsidRDefault="00B142FC" w:rsidP="0083535F">
            <w:pPr>
              <w:tabs>
                <w:tab w:val="decimal" w:pos="674"/>
              </w:tabs>
              <w:jc w:val="right"/>
            </w:pPr>
            <w:r>
              <w:t>105,</w:t>
            </w:r>
            <w:r w:rsidR="004F7FA2">
              <w:t>1</w:t>
            </w:r>
          </w:p>
        </w:tc>
        <w:tc>
          <w:tcPr>
            <w:tcW w:w="815" w:type="pct"/>
          </w:tcPr>
          <w:p w14:paraId="4D974986" w14:textId="77777777" w:rsidR="005150FC" w:rsidRDefault="00E2777A" w:rsidP="0083535F">
            <w:pPr>
              <w:tabs>
                <w:tab w:val="decimal" w:pos="780"/>
              </w:tabs>
              <w:jc w:val="right"/>
            </w:pPr>
            <w:r>
              <w:t>79,9</w:t>
            </w:r>
          </w:p>
        </w:tc>
        <w:tc>
          <w:tcPr>
            <w:tcW w:w="1118" w:type="pct"/>
          </w:tcPr>
          <w:p w14:paraId="4D974987" w14:textId="694A57BC" w:rsidR="005150FC" w:rsidRDefault="00B142FC" w:rsidP="0083535F">
            <w:pPr>
              <w:jc w:val="right"/>
            </w:pPr>
            <w:r>
              <w:t>49,</w:t>
            </w:r>
            <w:r w:rsidR="004F7FA2">
              <w:t>2</w:t>
            </w:r>
          </w:p>
        </w:tc>
        <w:tc>
          <w:tcPr>
            <w:tcW w:w="686" w:type="pct"/>
          </w:tcPr>
          <w:p w14:paraId="4D974988" w14:textId="7E1752BC" w:rsidR="005150FC" w:rsidRDefault="00B142FC" w:rsidP="00E2777A">
            <w:pPr>
              <w:ind w:left="454"/>
              <w:jc w:val="center"/>
            </w:pPr>
            <w:r>
              <w:t>234,</w:t>
            </w:r>
            <w:r w:rsidR="00E2777A">
              <w:t>7</w:t>
            </w:r>
          </w:p>
        </w:tc>
        <w:tc>
          <w:tcPr>
            <w:tcW w:w="795" w:type="pct"/>
          </w:tcPr>
          <w:p w14:paraId="4D974989" w14:textId="69637F62" w:rsidR="005150FC" w:rsidRDefault="00B142FC" w:rsidP="0083535F">
            <w:pPr>
              <w:tabs>
                <w:tab w:val="decimal" w:pos="885"/>
              </w:tabs>
              <w:jc w:val="right"/>
            </w:pPr>
            <w:r>
              <w:t>223,</w:t>
            </w:r>
            <w:r w:rsidR="00E2777A">
              <w:t>3</w:t>
            </w:r>
          </w:p>
        </w:tc>
      </w:tr>
    </w:tbl>
    <w:p w14:paraId="431C5372" w14:textId="77777777" w:rsidR="00F44C9C" w:rsidRDefault="00F44C9C" w:rsidP="00B95FC2"/>
    <w:p w14:paraId="4D97498B" w14:textId="0220E5CB" w:rsidR="00DA298C" w:rsidRDefault="00F10B48" w:rsidP="00B95FC2">
      <w:r>
        <w:t>*Dit k</w:t>
      </w:r>
      <w:r w:rsidR="004F7FA2">
        <w:t xml:space="preserve">omt vanuit het reguliere budget </w:t>
      </w:r>
      <w:r>
        <w:t>van de VN</w:t>
      </w:r>
      <w:r w:rsidR="00AD6F98">
        <w:t xml:space="preserve">, en wordt dus niet direct door lidstaten betaald. </w:t>
      </w:r>
    </w:p>
    <w:p w14:paraId="4D97498C" w14:textId="0D1D9C99" w:rsidR="005150FC" w:rsidRDefault="005150FC" w:rsidP="005150FC"/>
    <w:p w14:paraId="4D97498E" w14:textId="511D323B" w:rsidR="005150FC" w:rsidRDefault="005150FC" w:rsidP="005150FC">
      <w:r w:rsidRPr="001C3A3F">
        <w:t>Overzicht bijdragen en ranking grootste donoren</w:t>
      </w:r>
      <w:r w:rsidR="00E359F9">
        <w:rPr>
          <w:color w:val="FF0000"/>
        </w:rPr>
        <w:t xml:space="preserve"> </w:t>
      </w:r>
      <w:r>
        <w:t>(</w:t>
      </w:r>
      <w:r w:rsidR="00EA7EA3">
        <w:t>Bedragen</w:t>
      </w:r>
      <w:r>
        <w:t xml:space="preserve"> in USD miljoen)</w:t>
      </w:r>
    </w:p>
    <w:p w14:paraId="681CEC5B" w14:textId="77777777" w:rsidR="001C3A3F" w:rsidRPr="00E359F9" w:rsidRDefault="001C3A3F" w:rsidP="005150FC">
      <w:pPr>
        <w:rPr>
          <w:color w:val="FF0000"/>
        </w:rPr>
      </w:pP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834"/>
        <w:gridCol w:w="1987"/>
        <w:gridCol w:w="2976"/>
        <w:gridCol w:w="1900"/>
      </w:tblGrid>
      <w:tr w:rsidR="005150FC" w14:paraId="4D974994" w14:textId="77777777" w:rsidTr="001C3A3F">
        <w:tc>
          <w:tcPr>
            <w:tcW w:w="542" w:type="pct"/>
            <w:hideMark/>
          </w:tcPr>
          <w:p w14:paraId="4D974990" w14:textId="77777777" w:rsidR="005150FC" w:rsidRPr="00A13499" w:rsidRDefault="005150FC" w:rsidP="005150FC">
            <w:pPr>
              <w:rPr>
                <w:b/>
              </w:rPr>
            </w:pPr>
            <w:r w:rsidRPr="00A13499">
              <w:rPr>
                <w:b/>
              </w:rPr>
              <w:t>Jaar</w:t>
            </w:r>
          </w:p>
        </w:tc>
        <w:tc>
          <w:tcPr>
            <w:tcW w:w="1291" w:type="pct"/>
            <w:hideMark/>
          </w:tcPr>
          <w:p w14:paraId="4D974991" w14:textId="77777777" w:rsidR="005150FC" w:rsidRPr="00A13499" w:rsidRDefault="005150FC" w:rsidP="005150FC">
            <w:pPr>
              <w:rPr>
                <w:b/>
              </w:rPr>
            </w:pPr>
            <w:r w:rsidRPr="00A13499">
              <w:rPr>
                <w:b/>
              </w:rPr>
              <w:t>Bijdrage</w:t>
            </w:r>
          </w:p>
        </w:tc>
        <w:tc>
          <w:tcPr>
            <w:tcW w:w="1933" w:type="pct"/>
            <w:hideMark/>
          </w:tcPr>
          <w:p w14:paraId="4D974992" w14:textId="77777777" w:rsidR="005150FC" w:rsidRPr="00A13499" w:rsidRDefault="005150FC" w:rsidP="005150FC">
            <w:pPr>
              <w:rPr>
                <w:b/>
              </w:rPr>
            </w:pPr>
            <w:r w:rsidRPr="00A13499">
              <w:rPr>
                <w:b/>
              </w:rPr>
              <w:t>Ranking/donor</w:t>
            </w:r>
          </w:p>
        </w:tc>
        <w:tc>
          <w:tcPr>
            <w:tcW w:w="1234" w:type="pct"/>
            <w:hideMark/>
          </w:tcPr>
          <w:p w14:paraId="4D974993" w14:textId="77777777" w:rsidR="005150FC" w:rsidRPr="00A13499" w:rsidRDefault="005150FC" w:rsidP="00D114F5">
            <w:pPr>
              <w:jc w:val="right"/>
              <w:rPr>
                <w:b/>
              </w:rPr>
            </w:pPr>
            <w:r w:rsidRPr="00A13499">
              <w:rPr>
                <w:b/>
              </w:rPr>
              <w:t>Bedrag</w:t>
            </w:r>
          </w:p>
        </w:tc>
      </w:tr>
      <w:tr w:rsidR="005150FC" w14:paraId="4D974999" w14:textId="77777777" w:rsidTr="001C3A3F">
        <w:tc>
          <w:tcPr>
            <w:tcW w:w="542" w:type="pct"/>
            <w:shd w:val="clear" w:color="auto" w:fill="D9D9D9"/>
          </w:tcPr>
          <w:p w14:paraId="4D974995" w14:textId="77777777" w:rsidR="005150FC" w:rsidRDefault="005150FC" w:rsidP="005150FC"/>
        </w:tc>
        <w:tc>
          <w:tcPr>
            <w:tcW w:w="1291" w:type="pct"/>
            <w:shd w:val="clear" w:color="auto" w:fill="D9D9D9"/>
          </w:tcPr>
          <w:p w14:paraId="4D974996" w14:textId="77777777" w:rsidR="005150FC" w:rsidRDefault="005150FC" w:rsidP="005150FC"/>
        </w:tc>
        <w:tc>
          <w:tcPr>
            <w:tcW w:w="1933" w:type="pct"/>
            <w:shd w:val="clear" w:color="auto" w:fill="D9D9D9"/>
          </w:tcPr>
          <w:p w14:paraId="4D974997" w14:textId="77777777" w:rsidR="005150FC" w:rsidRDefault="005150FC" w:rsidP="005150FC"/>
        </w:tc>
        <w:tc>
          <w:tcPr>
            <w:tcW w:w="1234" w:type="pct"/>
            <w:shd w:val="clear" w:color="auto" w:fill="D9D9D9"/>
          </w:tcPr>
          <w:p w14:paraId="4D974998" w14:textId="77777777" w:rsidR="005150FC" w:rsidRDefault="005150FC" w:rsidP="00D114F5">
            <w:pPr>
              <w:jc w:val="right"/>
            </w:pPr>
          </w:p>
        </w:tc>
      </w:tr>
      <w:tr w:rsidR="00906D06" w:rsidRPr="00EA7EA3" w14:paraId="4D97499E" w14:textId="77777777" w:rsidTr="001C3A3F">
        <w:trPr>
          <w:trHeight w:val="199"/>
        </w:trPr>
        <w:tc>
          <w:tcPr>
            <w:tcW w:w="542" w:type="pct"/>
            <w:vMerge w:val="restart"/>
            <w:hideMark/>
          </w:tcPr>
          <w:p w14:paraId="4D97499A" w14:textId="6A2F6911" w:rsidR="00906D06" w:rsidRPr="00EA7EA3" w:rsidRDefault="00906D06" w:rsidP="000C7B90">
            <w:r w:rsidRPr="00EA7EA3">
              <w:t>2014</w:t>
            </w:r>
          </w:p>
        </w:tc>
        <w:tc>
          <w:tcPr>
            <w:tcW w:w="1291" w:type="pct"/>
            <w:vMerge w:val="restart"/>
            <w:hideMark/>
          </w:tcPr>
          <w:p w14:paraId="4D97499B" w14:textId="1A0A4FCD" w:rsidR="00906D06" w:rsidRPr="00EA7EA3" w:rsidRDefault="00906D06" w:rsidP="00906D06">
            <w:r w:rsidRPr="00EA7EA3">
              <w:rPr>
                <w:i/>
              </w:rPr>
              <w:t>Core</w:t>
            </w:r>
            <w:r>
              <w:t xml:space="preserve"> </w:t>
            </w:r>
          </w:p>
        </w:tc>
        <w:tc>
          <w:tcPr>
            <w:tcW w:w="1933" w:type="pct"/>
            <w:hideMark/>
          </w:tcPr>
          <w:p w14:paraId="4D97499C" w14:textId="77777777" w:rsidR="00906D06" w:rsidRPr="00EA7EA3" w:rsidRDefault="00906D06" w:rsidP="00B04C4B">
            <w:r w:rsidRPr="00EA7EA3">
              <w:t>1. Noorwegen</w:t>
            </w:r>
          </w:p>
        </w:tc>
        <w:tc>
          <w:tcPr>
            <w:tcW w:w="1234" w:type="pct"/>
          </w:tcPr>
          <w:p w14:paraId="4D97499D" w14:textId="77777777" w:rsidR="00906D06" w:rsidRPr="00EA7EA3" w:rsidRDefault="00906D06" w:rsidP="00B04C4B">
            <w:pPr>
              <w:tabs>
                <w:tab w:val="decimal" w:pos="1026"/>
              </w:tabs>
              <w:jc w:val="right"/>
            </w:pPr>
            <w:r w:rsidRPr="00EA7EA3">
              <w:t>10,0</w:t>
            </w:r>
          </w:p>
        </w:tc>
      </w:tr>
      <w:tr w:rsidR="00906D06" w:rsidRPr="00EA7EA3" w14:paraId="4D9749A3" w14:textId="77777777" w:rsidTr="001C3A3F">
        <w:tc>
          <w:tcPr>
            <w:tcW w:w="542" w:type="pct"/>
            <w:vMerge/>
          </w:tcPr>
          <w:p w14:paraId="4D97499F" w14:textId="77777777" w:rsidR="00906D06" w:rsidRPr="00EA7EA3" w:rsidRDefault="00906D06" w:rsidP="005150FC"/>
        </w:tc>
        <w:tc>
          <w:tcPr>
            <w:tcW w:w="1291" w:type="pct"/>
            <w:vMerge/>
          </w:tcPr>
          <w:p w14:paraId="4D9749A0" w14:textId="77777777" w:rsidR="00906D06" w:rsidRPr="00EA7EA3" w:rsidRDefault="00906D06" w:rsidP="00940A5E"/>
        </w:tc>
        <w:tc>
          <w:tcPr>
            <w:tcW w:w="1933" w:type="pct"/>
            <w:hideMark/>
          </w:tcPr>
          <w:p w14:paraId="4D9749A1" w14:textId="77777777" w:rsidR="00906D06" w:rsidRPr="00EA7EA3" w:rsidRDefault="00906D06" w:rsidP="00B04C4B">
            <w:r w:rsidRPr="00EA7EA3">
              <w:t>2. Zweden</w:t>
            </w:r>
          </w:p>
        </w:tc>
        <w:tc>
          <w:tcPr>
            <w:tcW w:w="1234" w:type="pct"/>
          </w:tcPr>
          <w:p w14:paraId="4D9749A2" w14:textId="77777777" w:rsidR="00906D06" w:rsidRPr="00EA7EA3" w:rsidRDefault="00906D06" w:rsidP="00B04C4B">
            <w:pPr>
              <w:tabs>
                <w:tab w:val="decimal" w:pos="1026"/>
              </w:tabs>
              <w:jc w:val="right"/>
            </w:pPr>
            <w:r w:rsidRPr="00EA7EA3">
              <w:t>7,7</w:t>
            </w:r>
          </w:p>
        </w:tc>
      </w:tr>
      <w:tr w:rsidR="00906D06" w:rsidRPr="00EA7EA3" w14:paraId="4D9749A8" w14:textId="77777777" w:rsidTr="001C3A3F">
        <w:tc>
          <w:tcPr>
            <w:tcW w:w="542" w:type="pct"/>
            <w:vMerge/>
          </w:tcPr>
          <w:p w14:paraId="4D9749A4" w14:textId="77777777" w:rsidR="00906D06" w:rsidRPr="00EA7EA3" w:rsidRDefault="00906D06" w:rsidP="005150FC"/>
        </w:tc>
        <w:tc>
          <w:tcPr>
            <w:tcW w:w="1291" w:type="pct"/>
            <w:vMerge/>
          </w:tcPr>
          <w:p w14:paraId="4D9749A5" w14:textId="77777777" w:rsidR="00906D06" w:rsidRPr="00EA7EA3" w:rsidRDefault="00906D06" w:rsidP="00940A5E"/>
        </w:tc>
        <w:tc>
          <w:tcPr>
            <w:tcW w:w="1933" w:type="pct"/>
            <w:hideMark/>
          </w:tcPr>
          <w:p w14:paraId="4D9749A6" w14:textId="77777777" w:rsidR="00906D06" w:rsidRPr="00EA7EA3" w:rsidRDefault="00906D06" w:rsidP="00B04C4B">
            <w:pPr>
              <w:rPr>
                <w:b/>
              </w:rPr>
            </w:pPr>
            <w:r w:rsidRPr="00EA7EA3">
              <w:rPr>
                <w:b/>
              </w:rPr>
              <w:t>3. Nederland</w:t>
            </w:r>
          </w:p>
        </w:tc>
        <w:tc>
          <w:tcPr>
            <w:tcW w:w="1234" w:type="pct"/>
          </w:tcPr>
          <w:p w14:paraId="4D9749A7" w14:textId="71A013C6" w:rsidR="00906D06" w:rsidRPr="00EA7EA3" w:rsidRDefault="00906D06" w:rsidP="00B04C4B">
            <w:pPr>
              <w:tabs>
                <w:tab w:val="decimal" w:pos="1026"/>
              </w:tabs>
              <w:jc w:val="right"/>
              <w:rPr>
                <w:b/>
              </w:rPr>
            </w:pPr>
            <w:r>
              <w:rPr>
                <w:b/>
              </w:rPr>
              <w:t>6,7</w:t>
            </w:r>
          </w:p>
        </w:tc>
      </w:tr>
      <w:tr w:rsidR="00906D06" w:rsidRPr="00EA7EA3" w14:paraId="4D9749AD" w14:textId="77777777" w:rsidTr="001C3A3F">
        <w:tc>
          <w:tcPr>
            <w:tcW w:w="542" w:type="pct"/>
            <w:vMerge/>
          </w:tcPr>
          <w:p w14:paraId="4D9749A9" w14:textId="77777777" w:rsidR="00906D06" w:rsidRPr="00EA7EA3" w:rsidRDefault="00906D06" w:rsidP="005150FC"/>
        </w:tc>
        <w:tc>
          <w:tcPr>
            <w:tcW w:w="1291" w:type="pct"/>
            <w:vMerge w:val="restart"/>
            <w:hideMark/>
          </w:tcPr>
          <w:p w14:paraId="4D9749AA" w14:textId="08E0665C" w:rsidR="00906D06" w:rsidRPr="00EA7EA3" w:rsidRDefault="00906D06" w:rsidP="00906D06">
            <w:r w:rsidRPr="00EA7EA3">
              <w:rPr>
                <w:i/>
              </w:rPr>
              <w:t>Non-core</w:t>
            </w:r>
          </w:p>
        </w:tc>
        <w:tc>
          <w:tcPr>
            <w:tcW w:w="1933" w:type="pct"/>
            <w:hideMark/>
          </w:tcPr>
          <w:p w14:paraId="4D9749AB" w14:textId="77777777" w:rsidR="00906D06" w:rsidRPr="00EA7EA3" w:rsidRDefault="00906D06" w:rsidP="00B04C4B">
            <w:r w:rsidRPr="00EA7EA3">
              <w:t>1. Verenigde Staten</w:t>
            </w:r>
          </w:p>
        </w:tc>
        <w:tc>
          <w:tcPr>
            <w:tcW w:w="1234" w:type="pct"/>
          </w:tcPr>
          <w:p w14:paraId="4D9749AC" w14:textId="77777777" w:rsidR="00906D06" w:rsidRPr="00EA7EA3" w:rsidRDefault="00906D06" w:rsidP="00B04C4B">
            <w:pPr>
              <w:tabs>
                <w:tab w:val="decimal" w:pos="1026"/>
              </w:tabs>
              <w:jc w:val="right"/>
            </w:pPr>
            <w:r w:rsidRPr="00EA7EA3">
              <w:t>9,3</w:t>
            </w:r>
          </w:p>
        </w:tc>
      </w:tr>
      <w:tr w:rsidR="00906D06" w:rsidRPr="00EA7EA3" w14:paraId="4D9749B2" w14:textId="77777777" w:rsidTr="001C3A3F">
        <w:tc>
          <w:tcPr>
            <w:tcW w:w="542" w:type="pct"/>
            <w:vMerge/>
          </w:tcPr>
          <w:p w14:paraId="4D9749AE" w14:textId="77777777" w:rsidR="00906D06" w:rsidRPr="00EA7EA3" w:rsidRDefault="00906D06" w:rsidP="005150FC"/>
        </w:tc>
        <w:tc>
          <w:tcPr>
            <w:tcW w:w="1291" w:type="pct"/>
            <w:vMerge/>
          </w:tcPr>
          <w:p w14:paraId="4D9749AF" w14:textId="77777777" w:rsidR="00906D06" w:rsidRPr="00EA7EA3" w:rsidRDefault="00906D06" w:rsidP="00940A5E"/>
        </w:tc>
        <w:tc>
          <w:tcPr>
            <w:tcW w:w="1933" w:type="pct"/>
            <w:hideMark/>
          </w:tcPr>
          <w:p w14:paraId="4D9749B0" w14:textId="77777777" w:rsidR="00906D06" w:rsidRPr="00EA7EA3" w:rsidRDefault="00906D06" w:rsidP="00B04C4B">
            <w:r w:rsidRPr="00EA7EA3">
              <w:t>2. Zweden</w:t>
            </w:r>
          </w:p>
        </w:tc>
        <w:tc>
          <w:tcPr>
            <w:tcW w:w="1234" w:type="pct"/>
          </w:tcPr>
          <w:p w14:paraId="4D9749B1" w14:textId="77777777" w:rsidR="00906D06" w:rsidRPr="00EA7EA3" w:rsidRDefault="00906D06" w:rsidP="00B04C4B">
            <w:pPr>
              <w:tabs>
                <w:tab w:val="decimal" w:pos="1026"/>
              </w:tabs>
              <w:jc w:val="right"/>
            </w:pPr>
            <w:r w:rsidRPr="00EA7EA3">
              <w:t>7,6</w:t>
            </w:r>
          </w:p>
        </w:tc>
      </w:tr>
      <w:tr w:rsidR="00906D06" w:rsidRPr="00EA7EA3" w14:paraId="096CFF97" w14:textId="77777777" w:rsidTr="001C3A3F">
        <w:tc>
          <w:tcPr>
            <w:tcW w:w="542" w:type="pct"/>
            <w:vMerge/>
          </w:tcPr>
          <w:p w14:paraId="72B46CBE" w14:textId="77777777" w:rsidR="00906D06" w:rsidRPr="00EA7EA3" w:rsidRDefault="00906D06" w:rsidP="005150FC"/>
        </w:tc>
        <w:tc>
          <w:tcPr>
            <w:tcW w:w="1291" w:type="pct"/>
            <w:vMerge/>
          </w:tcPr>
          <w:p w14:paraId="0EBCA964" w14:textId="77777777" w:rsidR="00906D06" w:rsidRPr="00EA7EA3" w:rsidRDefault="00906D06" w:rsidP="00940A5E"/>
        </w:tc>
        <w:tc>
          <w:tcPr>
            <w:tcW w:w="1933" w:type="pct"/>
          </w:tcPr>
          <w:p w14:paraId="76BB183F" w14:textId="59936A9B" w:rsidR="00906D06" w:rsidRPr="00EA7EA3" w:rsidRDefault="00906D06" w:rsidP="00B04C4B">
            <w:r>
              <w:t>3. Noorwegen</w:t>
            </w:r>
          </w:p>
        </w:tc>
        <w:tc>
          <w:tcPr>
            <w:tcW w:w="1234" w:type="pct"/>
          </w:tcPr>
          <w:p w14:paraId="029E2E90" w14:textId="422C19DA" w:rsidR="00906D06" w:rsidRPr="00EA7EA3" w:rsidRDefault="00906D06" w:rsidP="00B04C4B">
            <w:pPr>
              <w:tabs>
                <w:tab w:val="decimal" w:pos="1026"/>
              </w:tabs>
              <w:jc w:val="right"/>
            </w:pPr>
            <w:r>
              <w:t>5,3</w:t>
            </w:r>
          </w:p>
        </w:tc>
      </w:tr>
      <w:tr w:rsidR="00906D06" w:rsidRPr="00EA7EA3" w14:paraId="4D9749B7" w14:textId="77777777" w:rsidTr="001C3A3F">
        <w:tc>
          <w:tcPr>
            <w:tcW w:w="542" w:type="pct"/>
            <w:vMerge/>
          </w:tcPr>
          <w:p w14:paraId="4D9749B3" w14:textId="77777777" w:rsidR="00906D06" w:rsidRPr="00EA7EA3" w:rsidRDefault="00906D06" w:rsidP="00C50100"/>
        </w:tc>
        <w:tc>
          <w:tcPr>
            <w:tcW w:w="1291" w:type="pct"/>
            <w:vMerge/>
          </w:tcPr>
          <w:p w14:paraId="4D9749B4" w14:textId="77777777" w:rsidR="00906D06" w:rsidRPr="00EA7EA3" w:rsidRDefault="00906D06" w:rsidP="00940A5E"/>
        </w:tc>
        <w:tc>
          <w:tcPr>
            <w:tcW w:w="1933" w:type="pct"/>
            <w:hideMark/>
          </w:tcPr>
          <w:p w14:paraId="4D9749B5" w14:textId="77777777" w:rsidR="00906D06" w:rsidRPr="00EA7EA3" w:rsidRDefault="00906D06" w:rsidP="00B04C4B">
            <w:pPr>
              <w:rPr>
                <w:b/>
              </w:rPr>
            </w:pPr>
            <w:r w:rsidRPr="00EA7EA3">
              <w:rPr>
                <w:b/>
              </w:rPr>
              <w:t>4. Nederland</w:t>
            </w:r>
          </w:p>
        </w:tc>
        <w:tc>
          <w:tcPr>
            <w:tcW w:w="1234" w:type="pct"/>
          </w:tcPr>
          <w:p w14:paraId="4D9749B6" w14:textId="0F362132" w:rsidR="00906D06" w:rsidRPr="00EA7EA3" w:rsidRDefault="00906D06" w:rsidP="00B04C4B">
            <w:pPr>
              <w:tabs>
                <w:tab w:val="decimal" w:pos="1026"/>
              </w:tabs>
              <w:jc w:val="right"/>
              <w:rPr>
                <w:b/>
              </w:rPr>
            </w:pPr>
            <w:r>
              <w:rPr>
                <w:b/>
              </w:rPr>
              <w:t>3,9</w:t>
            </w:r>
          </w:p>
        </w:tc>
      </w:tr>
      <w:tr w:rsidR="00906D06" w:rsidRPr="00EA7EA3" w14:paraId="4D9749BC" w14:textId="77777777" w:rsidTr="001C3A3F">
        <w:tc>
          <w:tcPr>
            <w:tcW w:w="542" w:type="pct"/>
            <w:vMerge/>
          </w:tcPr>
          <w:p w14:paraId="4D9749B8" w14:textId="77777777" w:rsidR="00906D06" w:rsidRPr="00EA7EA3" w:rsidRDefault="00906D06" w:rsidP="005150FC"/>
        </w:tc>
        <w:tc>
          <w:tcPr>
            <w:tcW w:w="1291" w:type="pct"/>
            <w:vMerge w:val="restart"/>
            <w:hideMark/>
          </w:tcPr>
          <w:p w14:paraId="4D9749B9" w14:textId="77777777" w:rsidR="00906D06" w:rsidRPr="00EA7EA3" w:rsidRDefault="00906D06" w:rsidP="00940A5E">
            <w:r w:rsidRPr="00EA7EA3">
              <w:t>Totaal bijdrage</w:t>
            </w:r>
          </w:p>
        </w:tc>
        <w:tc>
          <w:tcPr>
            <w:tcW w:w="1933" w:type="pct"/>
            <w:hideMark/>
          </w:tcPr>
          <w:p w14:paraId="4D9749BA" w14:textId="77777777" w:rsidR="00906D06" w:rsidRPr="00EA7EA3" w:rsidRDefault="00906D06" w:rsidP="00B04C4B">
            <w:r w:rsidRPr="00EA7EA3">
              <w:t>1. Noorwegen</w:t>
            </w:r>
          </w:p>
        </w:tc>
        <w:tc>
          <w:tcPr>
            <w:tcW w:w="1234" w:type="pct"/>
          </w:tcPr>
          <w:p w14:paraId="4D9749BB" w14:textId="77777777" w:rsidR="00906D06" w:rsidRPr="00EA7EA3" w:rsidRDefault="00906D06" w:rsidP="00B04C4B">
            <w:pPr>
              <w:tabs>
                <w:tab w:val="decimal" w:pos="1026"/>
              </w:tabs>
              <w:jc w:val="right"/>
            </w:pPr>
            <w:r w:rsidRPr="00EA7EA3">
              <w:t>15,3</w:t>
            </w:r>
          </w:p>
        </w:tc>
      </w:tr>
      <w:tr w:rsidR="00906D06" w:rsidRPr="00EA7EA3" w14:paraId="4D9749C1" w14:textId="77777777" w:rsidTr="001C3A3F">
        <w:tc>
          <w:tcPr>
            <w:tcW w:w="542" w:type="pct"/>
            <w:vMerge/>
          </w:tcPr>
          <w:p w14:paraId="4D9749BD" w14:textId="77777777" w:rsidR="00906D06" w:rsidRPr="00EA7EA3" w:rsidRDefault="00906D06" w:rsidP="005150FC"/>
        </w:tc>
        <w:tc>
          <w:tcPr>
            <w:tcW w:w="1291" w:type="pct"/>
            <w:vMerge/>
          </w:tcPr>
          <w:p w14:paraId="4D9749BE" w14:textId="77777777" w:rsidR="00906D06" w:rsidRPr="00EA7EA3" w:rsidRDefault="00906D06" w:rsidP="005150FC"/>
        </w:tc>
        <w:tc>
          <w:tcPr>
            <w:tcW w:w="1933" w:type="pct"/>
            <w:hideMark/>
          </w:tcPr>
          <w:p w14:paraId="4D9749BF" w14:textId="77777777" w:rsidR="00906D06" w:rsidRPr="00EA7EA3" w:rsidRDefault="00906D06" w:rsidP="00B04C4B">
            <w:r w:rsidRPr="00EA7EA3">
              <w:t>2. Zweden</w:t>
            </w:r>
          </w:p>
        </w:tc>
        <w:tc>
          <w:tcPr>
            <w:tcW w:w="1234" w:type="pct"/>
          </w:tcPr>
          <w:p w14:paraId="4D9749C0" w14:textId="77777777" w:rsidR="00906D06" w:rsidRPr="00EA7EA3" w:rsidRDefault="00906D06" w:rsidP="00B04C4B">
            <w:pPr>
              <w:tabs>
                <w:tab w:val="decimal" w:pos="1026"/>
              </w:tabs>
              <w:jc w:val="right"/>
            </w:pPr>
            <w:r w:rsidRPr="00EA7EA3">
              <w:t>15,3</w:t>
            </w:r>
          </w:p>
        </w:tc>
      </w:tr>
      <w:tr w:rsidR="00906D06" w:rsidRPr="00EA7EA3" w14:paraId="0D30B835" w14:textId="77777777" w:rsidTr="001C3A3F">
        <w:tc>
          <w:tcPr>
            <w:tcW w:w="542" w:type="pct"/>
            <w:vMerge/>
          </w:tcPr>
          <w:p w14:paraId="3FB50ECD" w14:textId="77777777" w:rsidR="00906D06" w:rsidRPr="00EA7EA3" w:rsidRDefault="00906D06" w:rsidP="005150FC"/>
        </w:tc>
        <w:tc>
          <w:tcPr>
            <w:tcW w:w="1291" w:type="pct"/>
            <w:vMerge/>
          </w:tcPr>
          <w:p w14:paraId="2005A970" w14:textId="77777777" w:rsidR="00906D06" w:rsidRPr="00EA7EA3" w:rsidRDefault="00906D06" w:rsidP="005150FC"/>
        </w:tc>
        <w:tc>
          <w:tcPr>
            <w:tcW w:w="1933" w:type="pct"/>
          </w:tcPr>
          <w:p w14:paraId="1441F4CC" w14:textId="169AB644" w:rsidR="00906D06" w:rsidRPr="00EA7EA3" w:rsidRDefault="00906D06" w:rsidP="00FD6DC6">
            <w:r>
              <w:t xml:space="preserve">3. Verenigde Staten </w:t>
            </w:r>
          </w:p>
        </w:tc>
        <w:tc>
          <w:tcPr>
            <w:tcW w:w="1234" w:type="pct"/>
          </w:tcPr>
          <w:p w14:paraId="4158F80C" w14:textId="4212C8AD" w:rsidR="00906D06" w:rsidRPr="00EA7EA3" w:rsidRDefault="00906D06" w:rsidP="00B04C4B">
            <w:pPr>
              <w:tabs>
                <w:tab w:val="decimal" w:pos="1026"/>
              </w:tabs>
              <w:jc w:val="right"/>
            </w:pPr>
            <w:r>
              <w:t>14,1</w:t>
            </w:r>
          </w:p>
        </w:tc>
      </w:tr>
      <w:tr w:rsidR="00906D06" w:rsidRPr="00EA7EA3" w14:paraId="4D9749C6" w14:textId="77777777" w:rsidTr="001C3A3F">
        <w:tc>
          <w:tcPr>
            <w:tcW w:w="542" w:type="pct"/>
            <w:vMerge/>
          </w:tcPr>
          <w:p w14:paraId="4D9749C2" w14:textId="77777777" w:rsidR="00906D06" w:rsidRPr="00EA7EA3" w:rsidRDefault="00906D06" w:rsidP="005150FC"/>
        </w:tc>
        <w:tc>
          <w:tcPr>
            <w:tcW w:w="1291" w:type="pct"/>
            <w:vMerge/>
          </w:tcPr>
          <w:p w14:paraId="4D9749C3" w14:textId="77777777" w:rsidR="00906D06" w:rsidRPr="00EA7EA3" w:rsidRDefault="00906D06" w:rsidP="005150FC"/>
        </w:tc>
        <w:tc>
          <w:tcPr>
            <w:tcW w:w="1933" w:type="pct"/>
            <w:hideMark/>
          </w:tcPr>
          <w:p w14:paraId="4D9749C4" w14:textId="74E30A18" w:rsidR="00906D06" w:rsidRPr="00EA7EA3" w:rsidRDefault="00906D06" w:rsidP="00B04C4B">
            <w:pPr>
              <w:rPr>
                <w:b/>
              </w:rPr>
            </w:pPr>
            <w:r>
              <w:rPr>
                <w:b/>
              </w:rPr>
              <w:t>4</w:t>
            </w:r>
            <w:r w:rsidRPr="00EA7EA3">
              <w:rPr>
                <w:b/>
              </w:rPr>
              <w:t>. Nederland</w:t>
            </w:r>
          </w:p>
        </w:tc>
        <w:tc>
          <w:tcPr>
            <w:tcW w:w="1234" w:type="pct"/>
          </w:tcPr>
          <w:p w14:paraId="4D9749C5" w14:textId="77777777" w:rsidR="00906D06" w:rsidRPr="00EA7EA3" w:rsidRDefault="00906D06" w:rsidP="00B04C4B">
            <w:pPr>
              <w:tabs>
                <w:tab w:val="decimal" w:pos="1026"/>
              </w:tabs>
              <w:jc w:val="right"/>
              <w:rPr>
                <w:b/>
              </w:rPr>
            </w:pPr>
            <w:r w:rsidRPr="00EA7EA3">
              <w:rPr>
                <w:b/>
              </w:rPr>
              <w:t>10,6</w:t>
            </w:r>
          </w:p>
        </w:tc>
      </w:tr>
      <w:tr w:rsidR="005150FC" w:rsidRPr="00EA7EA3" w14:paraId="4D9749CB" w14:textId="77777777" w:rsidTr="001C3A3F">
        <w:tc>
          <w:tcPr>
            <w:tcW w:w="542" w:type="pct"/>
            <w:shd w:val="clear" w:color="auto" w:fill="D9D9D9"/>
          </w:tcPr>
          <w:p w14:paraId="4D9749C7" w14:textId="77777777" w:rsidR="005150FC" w:rsidRPr="00EA7EA3" w:rsidRDefault="005150FC" w:rsidP="005150FC"/>
        </w:tc>
        <w:tc>
          <w:tcPr>
            <w:tcW w:w="1291" w:type="pct"/>
            <w:shd w:val="clear" w:color="auto" w:fill="D9D9D9"/>
          </w:tcPr>
          <w:p w14:paraId="4D9749C8" w14:textId="77777777" w:rsidR="005150FC" w:rsidRPr="00EA7EA3" w:rsidRDefault="005150FC" w:rsidP="005150FC"/>
        </w:tc>
        <w:tc>
          <w:tcPr>
            <w:tcW w:w="1933" w:type="pct"/>
            <w:shd w:val="clear" w:color="auto" w:fill="D9D9D9"/>
          </w:tcPr>
          <w:p w14:paraId="4D9749C9" w14:textId="77777777" w:rsidR="005150FC" w:rsidRPr="00EA7EA3" w:rsidRDefault="005150FC" w:rsidP="005150FC"/>
        </w:tc>
        <w:tc>
          <w:tcPr>
            <w:tcW w:w="1234" w:type="pct"/>
            <w:shd w:val="clear" w:color="auto" w:fill="D9D9D9"/>
          </w:tcPr>
          <w:p w14:paraId="4D9749CA" w14:textId="77777777" w:rsidR="005150FC" w:rsidRPr="00EA7EA3" w:rsidRDefault="005150FC" w:rsidP="00D114F5">
            <w:pPr>
              <w:tabs>
                <w:tab w:val="decimal" w:pos="1026"/>
              </w:tabs>
              <w:jc w:val="right"/>
            </w:pPr>
          </w:p>
        </w:tc>
        <w:bookmarkStart w:id="30" w:name="_GoBack"/>
        <w:bookmarkEnd w:id="30"/>
      </w:tr>
      <w:tr w:rsidR="00906D06" w:rsidRPr="00EA7EA3" w14:paraId="4D9749D0" w14:textId="77777777" w:rsidTr="001C3A3F">
        <w:tc>
          <w:tcPr>
            <w:tcW w:w="542" w:type="pct"/>
            <w:vMerge w:val="restart"/>
            <w:hideMark/>
          </w:tcPr>
          <w:p w14:paraId="4D9749CC" w14:textId="7E5B7F50" w:rsidR="00906D06" w:rsidRPr="00EA7EA3" w:rsidRDefault="00906D06" w:rsidP="000C7B90">
            <w:r w:rsidRPr="00EA7EA3">
              <w:t>2015</w:t>
            </w:r>
          </w:p>
        </w:tc>
        <w:tc>
          <w:tcPr>
            <w:tcW w:w="1291" w:type="pct"/>
            <w:vMerge w:val="restart"/>
            <w:hideMark/>
          </w:tcPr>
          <w:p w14:paraId="4D9749CD" w14:textId="6DD2FAB0" w:rsidR="00906D06" w:rsidRPr="00EA7EA3" w:rsidRDefault="00906D06" w:rsidP="00906D06">
            <w:r w:rsidRPr="00EA7EA3">
              <w:rPr>
                <w:i/>
              </w:rPr>
              <w:t>Core</w:t>
            </w:r>
            <w:r w:rsidRPr="00EA7EA3">
              <w:t>-bijdrage</w:t>
            </w:r>
          </w:p>
        </w:tc>
        <w:tc>
          <w:tcPr>
            <w:tcW w:w="1933" w:type="pct"/>
            <w:hideMark/>
          </w:tcPr>
          <w:p w14:paraId="4D9749CE" w14:textId="77777777" w:rsidR="00906D06" w:rsidRPr="00EA7EA3" w:rsidRDefault="00906D06" w:rsidP="00B04C4B">
            <w:r w:rsidRPr="00EA7EA3">
              <w:t>1. Noorwegen</w:t>
            </w:r>
          </w:p>
        </w:tc>
        <w:tc>
          <w:tcPr>
            <w:tcW w:w="1234" w:type="pct"/>
          </w:tcPr>
          <w:p w14:paraId="4D9749CF" w14:textId="77777777" w:rsidR="00906D06" w:rsidRPr="00EA7EA3" w:rsidRDefault="00906D06" w:rsidP="00B04C4B">
            <w:pPr>
              <w:tabs>
                <w:tab w:val="decimal" w:pos="1026"/>
              </w:tabs>
              <w:jc w:val="right"/>
            </w:pPr>
            <w:r w:rsidRPr="00EA7EA3">
              <w:t>8,4</w:t>
            </w:r>
          </w:p>
        </w:tc>
      </w:tr>
      <w:tr w:rsidR="00906D06" w:rsidRPr="00EA7EA3" w14:paraId="4D9749D5" w14:textId="77777777" w:rsidTr="001C3A3F">
        <w:tc>
          <w:tcPr>
            <w:tcW w:w="542" w:type="pct"/>
            <w:vMerge/>
          </w:tcPr>
          <w:p w14:paraId="4D9749D1" w14:textId="7CE1FFCD" w:rsidR="00906D06" w:rsidRPr="00EA7EA3" w:rsidRDefault="00906D06" w:rsidP="005150FC"/>
        </w:tc>
        <w:tc>
          <w:tcPr>
            <w:tcW w:w="1291" w:type="pct"/>
            <w:vMerge/>
          </w:tcPr>
          <w:p w14:paraId="4D9749D2" w14:textId="77777777" w:rsidR="00906D06" w:rsidRPr="00EA7EA3" w:rsidRDefault="00906D06" w:rsidP="005150FC"/>
        </w:tc>
        <w:tc>
          <w:tcPr>
            <w:tcW w:w="1933" w:type="pct"/>
            <w:hideMark/>
          </w:tcPr>
          <w:p w14:paraId="4D9749D3" w14:textId="77777777" w:rsidR="00906D06" w:rsidRPr="00EA7EA3" w:rsidRDefault="00906D06" w:rsidP="00B04C4B">
            <w:r w:rsidRPr="00EA7EA3">
              <w:t>2. Zweden</w:t>
            </w:r>
          </w:p>
        </w:tc>
        <w:tc>
          <w:tcPr>
            <w:tcW w:w="1234" w:type="pct"/>
          </w:tcPr>
          <w:p w14:paraId="4D9749D4" w14:textId="77777777" w:rsidR="00906D06" w:rsidRPr="00EA7EA3" w:rsidRDefault="00906D06" w:rsidP="00B04C4B">
            <w:pPr>
              <w:tabs>
                <w:tab w:val="decimal" w:pos="1026"/>
              </w:tabs>
              <w:jc w:val="right"/>
            </w:pPr>
            <w:r w:rsidRPr="00EA7EA3">
              <w:t>7,7</w:t>
            </w:r>
          </w:p>
        </w:tc>
      </w:tr>
      <w:tr w:rsidR="00906D06" w:rsidRPr="00EA7EA3" w14:paraId="4D9749DA" w14:textId="77777777" w:rsidTr="001C3A3F">
        <w:tc>
          <w:tcPr>
            <w:tcW w:w="542" w:type="pct"/>
            <w:vMerge/>
          </w:tcPr>
          <w:p w14:paraId="4D9749D6" w14:textId="77777777" w:rsidR="00906D06" w:rsidRPr="00EA7EA3" w:rsidRDefault="00906D06" w:rsidP="005150FC"/>
        </w:tc>
        <w:tc>
          <w:tcPr>
            <w:tcW w:w="1291" w:type="pct"/>
            <w:vMerge/>
          </w:tcPr>
          <w:p w14:paraId="4D9749D7" w14:textId="77777777" w:rsidR="00906D06" w:rsidRPr="00EA7EA3" w:rsidRDefault="00906D06" w:rsidP="005150FC"/>
        </w:tc>
        <w:tc>
          <w:tcPr>
            <w:tcW w:w="1933" w:type="pct"/>
            <w:hideMark/>
          </w:tcPr>
          <w:p w14:paraId="4D9749D8" w14:textId="77777777" w:rsidR="00906D06" w:rsidRPr="00EA7EA3" w:rsidRDefault="00906D06" w:rsidP="00B04C4B">
            <w:pPr>
              <w:rPr>
                <w:b/>
              </w:rPr>
            </w:pPr>
            <w:r w:rsidRPr="00EA7EA3">
              <w:rPr>
                <w:b/>
              </w:rPr>
              <w:t>3. Nederland</w:t>
            </w:r>
          </w:p>
        </w:tc>
        <w:tc>
          <w:tcPr>
            <w:tcW w:w="1234" w:type="pct"/>
          </w:tcPr>
          <w:p w14:paraId="4D9749D9" w14:textId="77777777" w:rsidR="00906D06" w:rsidRPr="00EA7EA3" w:rsidRDefault="00906D06" w:rsidP="00B04C4B">
            <w:pPr>
              <w:tabs>
                <w:tab w:val="decimal" w:pos="1026"/>
              </w:tabs>
              <w:jc w:val="right"/>
              <w:rPr>
                <w:b/>
              </w:rPr>
            </w:pPr>
            <w:r w:rsidRPr="00EA7EA3">
              <w:rPr>
                <w:b/>
              </w:rPr>
              <w:t>5,6</w:t>
            </w:r>
          </w:p>
        </w:tc>
      </w:tr>
      <w:tr w:rsidR="00906D06" w:rsidRPr="00EA7EA3" w14:paraId="4D9749DF" w14:textId="77777777" w:rsidTr="001C3A3F">
        <w:trPr>
          <w:trHeight w:val="203"/>
        </w:trPr>
        <w:tc>
          <w:tcPr>
            <w:tcW w:w="542" w:type="pct"/>
            <w:vMerge/>
          </w:tcPr>
          <w:p w14:paraId="4D9749DB" w14:textId="77777777" w:rsidR="00906D06" w:rsidRPr="00EA7EA3" w:rsidRDefault="00906D06" w:rsidP="005150FC"/>
        </w:tc>
        <w:tc>
          <w:tcPr>
            <w:tcW w:w="1291" w:type="pct"/>
            <w:vMerge w:val="restart"/>
            <w:hideMark/>
          </w:tcPr>
          <w:p w14:paraId="4D9749DC" w14:textId="15EB9462" w:rsidR="00906D06" w:rsidRPr="00EA7EA3" w:rsidRDefault="00906D06" w:rsidP="00906D06">
            <w:r w:rsidRPr="00EA7EA3">
              <w:rPr>
                <w:i/>
              </w:rPr>
              <w:t>Non-core</w:t>
            </w:r>
            <w:r>
              <w:t xml:space="preserve"> </w:t>
            </w:r>
          </w:p>
        </w:tc>
        <w:tc>
          <w:tcPr>
            <w:tcW w:w="1933" w:type="pct"/>
            <w:hideMark/>
          </w:tcPr>
          <w:p w14:paraId="4D9749DD" w14:textId="77777777" w:rsidR="00906D06" w:rsidRPr="00EA7EA3" w:rsidRDefault="00906D06" w:rsidP="00323EB8">
            <w:r w:rsidRPr="00EA7EA3">
              <w:t>1. Verenigde Staten</w:t>
            </w:r>
          </w:p>
        </w:tc>
        <w:tc>
          <w:tcPr>
            <w:tcW w:w="1234" w:type="pct"/>
          </w:tcPr>
          <w:p w14:paraId="4D9749DE" w14:textId="77777777" w:rsidR="00906D06" w:rsidRPr="00EA7EA3" w:rsidRDefault="00906D06" w:rsidP="00D114F5">
            <w:pPr>
              <w:tabs>
                <w:tab w:val="decimal" w:pos="1026"/>
              </w:tabs>
              <w:jc w:val="right"/>
            </w:pPr>
            <w:r w:rsidRPr="00EA7EA3">
              <w:t>16,3</w:t>
            </w:r>
          </w:p>
        </w:tc>
      </w:tr>
      <w:tr w:rsidR="00906D06" w:rsidRPr="00EA7EA3" w14:paraId="4D9749E4" w14:textId="77777777" w:rsidTr="001C3A3F">
        <w:tc>
          <w:tcPr>
            <w:tcW w:w="542" w:type="pct"/>
            <w:vMerge/>
          </w:tcPr>
          <w:p w14:paraId="4D9749E0" w14:textId="77777777" w:rsidR="00906D06" w:rsidRPr="00EA7EA3" w:rsidRDefault="00906D06" w:rsidP="005150FC"/>
        </w:tc>
        <w:tc>
          <w:tcPr>
            <w:tcW w:w="1291" w:type="pct"/>
            <w:vMerge/>
          </w:tcPr>
          <w:p w14:paraId="4D9749E1" w14:textId="77777777" w:rsidR="00906D06" w:rsidRPr="00EA7EA3" w:rsidRDefault="00906D06" w:rsidP="005150FC"/>
        </w:tc>
        <w:tc>
          <w:tcPr>
            <w:tcW w:w="1933" w:type="pct"/>
            <w:hideMark/>
          </w:tcPr>
          <w:p w14:paraId="4D9749E2" w14:textId="77777777" w:rsidR="00906D06" w:rsidRPr="00EA7EA3" w:rsidRDefault="00906D06" w:rsidP="005150FC">
            <w:r w:rsidRPr="00EA7EA3">
              <w:t>2. Europese Unie</w:t>
            </w:r>
          </w:p>
        </w:tc>
        <w:tc>
          <w:tcPr>
            <w:tcW w:w="1234" w:type="pct"/>
          </w:tcPr>
          <w:p w14:paraId="4D9749E3" w14:textId="77777777" w:rsidR="00906D06" w:rsidRPr="00EA7EA3" w:rsidRDefault="00906D06" w:rsidP="00D114F5">
            <w:pPr>
              <w:tabs>
                <w:tab w:val="decimal" w:pos="1026"/>
              </w:tabs>
              <w:jc w:val="right"/>
            </w:pPr>
            <w:r w:rsidRPr="00EA7EA3">
              <w:t>8,5</w:t>
            </w:r>
          </w:p>
        </w:tc>
      </w:tr>
      <w:tr w:rsidR="00906D06" w:rsidRPr="00EA7EA3" w14:paraId="1501CAA6" w14:textId="77777777" w:rsidTr="001C3A3F">
        <w:tc>
          <w:tcPr>
            <w:tcW w:w="542" w:type="pct"/>
            <w:vMerge/>
          </w:tcPr>
          <w:p w14:paraId="60ED7BEB" w14:textId="77777777" w:rsidR="00906D06" w:rsidRPr="00EA7EA3" w:rsidRDefault="00906D06" w:rsidP="005150FC"/>
        </w:tc>
        <w:tc>
          <w:tcPr>
            <w:tcW w:w="1291" w:type="pct"/>
            <w:vMerge/>
          </w:tcPr>
          <w:p w14:paraId="11B7C562" w14:textId="77777777" w:rsidR="00906D06" w:rsidRPr="00EA7EA3" w:rsidRDefault="00906D06" w:rsidP="005150FC"/>
        </w:tc>
        <w:tc>
          <w:tcPr>
            <w:tcW w:w="1933" w:type="pct"/>
          </w:tcPr>
          <w:p w14:paraId="521C005D" w14:textId="4C672F0B" w:rsidR="00906D06" w:rsidRPr="00EA7EA3" w:rsidRDefault="00906D06" w:rsidP="005150FC">
            <w:r>
              <w:t xml:space="preserve">3. Zweden </w:t>
            </w:r>
          </w:p>
        </w:tc>
        <w:tc>
          <w:tcPr>
            <w:tcW w:w="1234" w:type="pct"/>
          </w:tcPr>
          <w:p w14:paraId="1746DFBB" w14:textId="1E9CA648" w:rsidR="00906D06" w:rsidRPr="00EA7EA3" w:rsidRDefault="00906D06" w:rsidP="00D114F5">
            <w:pPr>
              <w:tabs>
                <w:tab w:val="decimal" w:pos="1026"/>
              </w:tabs>
              <w:jc w:val="right"/>
            </w:pPr>
            <w:r>
              <w:t>6</w:t>
            </w:r>
            <w:r w:rsidR="00B142FC">
              <w:t>,0</w:t>
            </w:r>
          </w:p>
        </w:tc>
      </w:tr>
      <w:tr w:rsidR="00906D06" w:rsidRPr="00EA7EA3" w14:paraId="4D9749E9" w14:textId="77777777" w:rsidTr="001C3A3F">
        <w:tc>
          <w:tcPr>
            <w:tcW w:w="542" w:type="pct"/>
            <w:vMerge/>
          </w:tcPr>
          <w:p w14:paraId="4D9749E5" w14:textId="77777777" w:rsidR="00906D06" w:rsidRPr="00EA7EA3" w:rsidRDefault="00906D06" w:rsidP="00C50100"/>
        </w:tc>
        <w:tc>
          <w:tcPr>
            <w:tcW w:w="1291" w:type="pct"/>
            <w:vMerge/>
          </w:tcPr>
          <w:p w14:paraId="4D9749E6" w14:textId="77777777" w:rsidR="00906D06" w:rsidRPr="00EA7EA3" w:rsidRDefault="00906D06" w:rsidP="00C50100"/>
        </w:tc>
        <w:tc>
          <w:tcPr>
            <w:tcW w:w="1933" w:type="pct"/>
            <w:hideMark/>
          </w:tcPr>
          <w:p w14:paraId="4D9749E7" w14:textId="77777777" w:rsidR="00906D06" w:rsidRPr="00EA7EA3" w:rsidRDefault="00906D06" w:rsidP="00C50100">
            <w:pPr>
              <w:rPr>
                <w:b/>
              </w:rPr>
            </w:pPr>
            <w:r w:rsidRPr="00EA7EA3">
              <w:rPr>
                <w:b/>
              </w:rPr>
              <w:t>5. Nederland</w:t>
            </w:r>
          </w:p>
        </w:tc>
        <w:tc>
          <w:tcPr>
            <w:tcW w:w="1234" w:type="pct"/>
          </w:tcPr>
          <w:p w14:paraId="4D9749E8" w14:textId="77777777" w:rsidR="00906D06" w:rsidRPr="00EA7EA3" w:rsidRDefault="00906D06" w:rsidP="00C50100">
            <w:pPr>
              <w:tabs>
                <w:tab w:val="decimal" w:pos="1026"/>
              </w:tabs>
              <w:jc w:val="right"/>
              <w:rPr>
                <w:b/>
              </w:rPr>
            </w:pPr>
            <w:r w:rsidRPr="00EA7EA3">
              <w:rPr>
                <w:b/>
              </w:rPr>
              <w:t>4,2</w:t>
            </w:r>
          </w:p>
        </w:tc>
      </w:tr>
      <w:tr w:rsidR="00906D06" w:rsidRPr="00EA7EA3" w14:paraId="4D9749EE" w14:textId="77777777" w:rsidTr="001C3A3F">
        <w:tc>
          <w:tcPr>
            <w:tcW w:w="542" w:type="pct"/>
            <w:vMerge/>
          </w:tcPr>
          <w:p w14:paraId="4D9749EA" w14:textId="77777777" w:rsidR="00906D06" w:rsidRPr="00EA7EA3" w:rsidRDefault="00906D06" w:rsidP="005150FC"/>
        </w:tc>
        <w:tc>
          <w:tcPr>
            <w:tcW w:w="1291" w:type="pct"/>
            <w:vMerge w:val="restart"/>
            <w:hideMark/>
          </w:tcPr>
          <w:p w14:paraId="4D9749EB" w14:textId="77777777" w:rsidR="00906D06" w:rsidRPr="00EA7EA3" w:rsidRDefault="00906D06" w:rsidP="005150FC">
            <w:r w:rsidRPr="00EA7EA3">
              <w:t>Totaal bijdrage</w:t>
            </w:r>
          </w:p>
        </w:tc>
        <w:tc>
          <w:tcPr>
            <w:tcW w:w="1933" w:type="pct"/>
            <w:hideMark/>
          </w:tcPr>
          <w:p w14:paraId="4D9749EC" w14:textId="77777777" w:rsidR="00906D06" w:rsidRPr="00EA7EA3" w:rsidRDefault="00906D06" w:rsidP="00323EB8">
            <w:r w:rsidRPr="00EA7EA3">
              <w:t>1. Verenigde Staten</w:t>
            </w:r>
          </w:p>
        </w:tc>
        <w:tc>
          <w:tcPr>
            <w:tcW w:w="1234" w:type="pct"/>
          </w:tcPr>
          <w:p w14:paraId="4D9749ED" w14:textId="77777777" w:rsidR="00906D06" w:rsidRPr="00EA7EA3" w:rsidRDefault="00906D06" w:rsidP="00D114F5">
            <w:pPr>
              <w:tabs>
                <w:tab w:val="decimal" w:pos="1026"/>
              </w:tabs>
              <w:jc w:val="right"/>
            </w:pPr>
            <w:r w:rsidRPr="00EA7EA3">
              <w:t>16,3</w:t>
            </w:r>
          </w:p>
        </w:tc>
      </w:tr>
      <w:tr w:rsidR="00906D06" w:rsidRPr="00EA7EA3" w14:paraId="4D9749F3" w14:textId="77777777" w:rsidTr="001C3A3F">
        <w:tc>
          <w:tcPr>
            <w:tcW w:w="542" w:type="pct"/>
            <w:vMerge/>
          </w:tcPr>
          <w:p w14:paraId="4D9749EF" w14:textId="77777777" w:rsidR="00906D06" w:rsidRPr="00EA7EA3" w:rsidRDefault="00906D06" w:rsidP="005150FC"/>
        </w:tc>
        <w:tc>
          <w:tcPr>
            <w:tcW w:w="1291" w:type="pct"/>
            <w:vMerge/>
          </w:tcPr>
          <w:p w14:paraId="4D9749F0" w14:textId="77777777" w:rsidR="00906D06" w:rsidRPr="00EA7EA3" w:rsidRDefault="00906D06" w:rsidP="005150FC"/>
        </w:tc>
        <w:tc>
          <w:tcPr>
            <w:tcW w:w="1933" w:type="pct"/>
            <w:hideMark/>
          </w:tcPr>
          <w:p w14:paraId="4D9749F1" w14:textId="77777777" w:rsidR="00906D06" w:rsidRPr="00EA7EA3" w:rsidRDefault="00906D06" w:rsidP="00323EB8">
            <w:r w:rsidRPr="00EA7EA3">
              <w:t>2. Noorwegen</w:t>
            </w:r>
          </w:p>
        </w:tc>
        <w:tc>
          <w:tcPr>
            <w:tcW w:w="1234" w:type="pct"/>
          </w:tcPr>
          <w:p w14:paraId="4D9749F2" w14:textId="77777777" w:rsidR="00906D06" w:rsidRPr="00EA7EA3" w:rsidRDefault="00906D06" w:rsidP="00D114F5">
            <w:pPr>
              <w:tabs>
                <w:tab w:val="decimal" w:pos="1026"/>
              </w:tabs>
              <w:jc w:val="right"/>
            </w:pPr>
            <w:r w:rsidRPr="00EA7EA3">
              <w:t>14,0</w:t>
            </w:r>
          </w:p>
        </w:tc>
      </w:tr>
      <w:tr w:rsidR="00906D06" w:rsidRPr="00EA7EA3" w14:paraId="74ABF63C" w14:textId="77777777" w:rsidTr="001C3A3F">
        <w:tc>
          <w:tcPr>
            <w:tcW w:w="542" w:type="pct"/>
            <w:vMerge/>
          </w:tcPr>
          <w:p w14:paraId="031B8339" w14:textId="77777777" w:rsidR="00906D06" w:rsidRPr="00EA7EA3" w:rsidRDefault="00906D06" w:rsidP="005150FC"/>
        </w:tc>
        <w:tc>
          <w:tcPr>
            <w:tcW w:w="1291" w:type="pct"/>
            <w:vMerge/>
          </w:tcPr>
          <w:p w14:paraId="5185DB40" w14:textId="77777777" w:rsidR="00906D06" w:rsidRPr="00EA7EA3" w:rsidRDefault="00906D06" w:rsidP="005150FC"/>
        </w:tc>
        <w:tc>
          <w:tcPr>
            <w:tcW w:w="1933" w:type="pct"/>
          </w:tcPr>
          <w:p w14:paraId="17391347" w14:textId="4B845BAA" w:rsidR="00906D06" w:rsidRPr="00EA7EA3" w:rsidRDefault="00906D06" w:rsidP="00323EB8">
            <w:r>
              <w:t>3. Zweden</w:t>
            </w:r>
          </w:p>
        </w:tc>
        <w:tc>
          <w:tcPr>
            <w:tcW w:w="1234" w:type="pct"/>
          </w:tcPr>
          <w:p w14:paraId="03A539ED" w14:textId="0BBA7536" w:rsidR="00906D06" w:rsidRPr="00EA7EA3" w:rsidRDefault="00906D06" w:rsidP="00D114F5">
            <w:pPr>
              <w:tabs>
                <w:tab w:val="decimal" w:pos="1026"/>
              </w:tabs>
              <w:jc w:val="right"/>
            </w:pPr>
            <w:r>
              <w:t>13,7</w:t>
            </w:r>
          </w:p>
        </w:tc>
      </w:tr>
      <w:tr w:rsidR="00906D06" w:rsidRPr="00EA7EA3" w14:paraId="4D9749F8" w14:textId="77777777" w:rsidTr="001C3A3F">
        <w:tc>
          <w:tcPr>
            <w:tcW w:w="542" w:type="pct"/>
            <w:vMerge/>
          </w:tcPr>
          <w:p w14:paraId="4D9749F4" w14:textId="77777777" w:rsidR="00906D06" w:rsidRPr="00EA7EA3" w:rsidRDefault="00906D06" w:rsidP="005150FC"/>
        </w:tc>
        <w:tc>
          <w:tcPr>
            <w:tcW w:w="1291" w:type="pct"/>
            <w:vMerge/>
          </w:tcPr>
          <w:p w14:paraId="4D9749F5" w14:textId="77777777" w:rsidR="00906D06" w:rsidRPr="00EA7EA3" w:rsidRDefault="00906D06" w:rsidP="005150FC"/>
        </w:tc>
        <w:tc>
          <w:tcPr>
            <w:tcW w:w="1933" w:type="pct"/>
            <w:hideMark/>
          </w:tcPr>
          <w:p w14:paraId="4D9749F6" w14:textId="77777777" w:rsidR="00906D06" w:rsidRPr="00EA7EA3" w:rsidRDefault="00906D06" w:rsidP="005150FC">
            <w:pPr>
              <w:rPr>
                <w:b/>
              </w:rPr>
            </w:pPr>
            <w:r w:rsidRPr="00EA7EA3">
              <w:rPr>
                <w:b/>
              </w:rPr>
              <w:t>5. Nederland</w:t>
            </w:r>
          </w:p>
        </w:tc>
        <w:tc>
          <w:tcPr>
            <w:tcW w:w="1234" w:type="pct"/>
          </w:tcPr>
          <w:p w14:paraId="4D9749F7" w14:textId="77777777" w:rsidR="00906D06" w:rsidRPr="00EA7EA3" w:rsidRDefault="00906D06" w:rsidP="00EA7EA3">
            <w:pPr>
              <w:tabs>
                <w:tab w:val="decimal" w:pos="1026"/>
              </w:tabs>
              <w:jc w:val="right"/>
            </w:pPr>
            <w:r w:rsidRPr="00EA7EA3">
              <w:t>9,8</w:t>
            </w:r>
          </w:p>
        </w:tc>
      </w:tr>
    </w:tbl>
    <w:p w14:paraId="7D97A483" w14:textId="29BA9138" w:rsidR="001C3A3F" w:rsidRDefault="001C3A3F"/>
    <w:p w14:paraId="7561DDB1" w14:textId="656879A7" w:rsidR="001C3A3F" w:rsidRDefault="001C3A3F"/>
    <w:p w14:paraId="740FEA42" w14:textId="16CA01CB" w:rsidR="001C3A3F" w:rsidRDefault="001C3A3F"/>
    <w:p w14:paraId="5EB3977F" w14:textId="2E7EB4B5" w:rsidR="001C3A3F" w:rsidRDefault="001C3A3F"/>
    <w:p w14:paraId="4DE75161" w14:textId="5E7E4320" w:rsidR="001C3A3F" w:rsidRDefault="001C3A3F"/>
    <w:p w14:paraId="2CE2162A" w14:textId="0C041D54" w:rsidR="001C3A3F" w:rsidRDefault="001C3A3F"/>
    <w:p w14:paraId="14E5DA56" w14:textId="28959776" w:rsidR="001C3A3F" w:rsidRDefault="001C3A3F"/>
    <w:p w14:paraId="0DE047E9" w14:textId="349AD4A7" w:rsidR="001C3A3F" w:rsidRDefault="001C3A3F"/>
    <w:p w14:paraId="32DCC81C" w14:textId="0F3F0624" w:rsidR="001C3A3F" w:rsidRDefault="001C3A3F"/>
    <w:p w14:paraId="7FDB57DC" w14:textId="23EE3280" w:rsidR="001C3A3F" w:rsidRDefault="001C3A3F"/>
    <w:p w14:paraId="041412A6" w14:textId="77777777" w:rsidR="001C3A3F" w:rsidRDefault="001C3A3F"/>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834"/>
        <w:gridCol w:w="1987"/>
        <w:gridCol w:w="2976"/>
        <w:gridCol w:w="1900"/>
      </w:tblGrid>
      <w:tr w:rsidR="001C3A3F" w14:paraId="31AF3910" w14:textId="77777777" w:rsidTr="001C3A3F">
        <w:tc>
          <w:tcPr>
            <w:tcW w:w="542" w:type="pct"/>
            <w:shd w:val="clear" w:color="auto" w:fill="auto"/>
          </w:tcPr>
          <w:p w14:paraId="0781D4B4" w14:textId="313B6D05" w:rsidR="001C3A3F" w:rsidRDefault="001C3A3F" w:rsidP="001C3A3F">
            <w:pPr>
              <w:spacing w:line="240" w:lineRule="auto"/>
            </w:pPr>
            <w:r w:rsidRPr="00A13499">
              <w:rPr>
                <w:b/>
              </w:rPr>
              <w:lastRenderedPageBreak/>
              <w:t>Jaar</w:t>
            </w:r>
          </w:p>
        </w:tc>
        <w:tc>
          <w:tcPr>
            <w:tcW w:w="1291" w:type="pct"/>
            <w:shd w:val="clear" w:color="auto" w:fill="auto"/>
          </w:tcPr>
          <w:p w14:paraId="1AC9B43E" w14:textId="1F82E109" w:rsidR="001C3A3F" w:rsidRDefault="001C3A3F" w:rsidP="001C3A3F">
            <w:pPr>
              <w:ind w:right="-211"/>
            </w:pPr>
            <w:r w:rsidRPr="00A13499">
              <w:rPr>
                <w:b/>
              </w:rPr>
              <w:t>Bijdrage</w:t>
            </w:r>
          </w:p>
        </w:tc>
        <w:tc>
          <w:tcPr>
            <w:tcW w:w="1933" w:type="pct"/>
            <w:shd w:val="clear" w:color="auto" w:fill="auto"/>
          </w:tcPr>
          <w:p w14:paraId="47146080" w14:textId="7AFFD4C2" w:rsidR="001C3A3F" w:rsidRDefault="001C3A3F" w:rsidP="001C3A3F">
            <w:pPr>
              <w:ind w:right="-211"/>
            </w:pPr>
            <w:r w:rsidRPr="00A13499">
              <w:rPr>
                <w:b/>
              </w:rPr>
              <w:t>Ranking/donor</w:t>
            </w:r>
          </w:p>
        </w:tc>
        <w:tc>
          <w:tcPr>
            <w:tcW w:w="1234" w:type="pct"/>
            <w:shd w:val="clear" w:color="auto" w:fill="auto"/>
          </w:tcPr>
          <w:p w14:paraId="73C6EE41" w14:textId="608A35B6" w:rsidR="001C3A3F" w:rsidRDefault="001C3A3F" w:rsidP="001C3A3F">
            <w:pPr>
              <w:tabs>
                <w:tab w:val="decimal" w:pos="1167"/>
              </w:tabs>
              <w:ind w:right="-211"/>
            </w:pPr>
            <w:r w:rsidRPr="00A13499">
              <w:rPr>
                <w:b/>
              </w:rPr>
              <w:t>Bedrag</w:t>
            </w:r>
          </w:p>
        </w:tc>
      </w:tr>
      <w:tr w:rsidR="001C3A3F" w14:paraId="4D974A04" w14:textId="77777777" w:rsidTr="001C3A3F">
        <w:tc>
          <w:tcPr>
            <w:tcW w:w="542" w:type="pct"/>
            <w:shd w:val="clear" w:color="auto" w:fill="D9D9D9"/>
          </w:tcPr>
          <w:p w14:paraId="4D974A00" w14:textId="77777777" w:rsidR="001C3A3F" w:rsidRDefault="001C3A3F" w:rsidP="001C3A3F">
            <w:pPr>
              <w:spacing w:line="240" w:lineRule="auto"/>
            </w:pPr>
          </w:p>
        </w:tc>
        <w:tc>
          <w:tcPr>
            <w:tcW w:w="1291" w:type="pct"/>
            <w:shd w:val="clear" w:color="auto" w:fill="D9D9D9"/>
          </w:tcPr>
          <w:p w14:paraId="4D974A01" w14:textId="77777777" w:rsidR="001C3A3F" w:rsidRDefault="001C3A3F" w:rsidP="001C3A3F">
            <w:pPr>
              <w:ind w:right="-211"/>
            </w:pPr>
          </w:p>
        </w:tc>
        <w:tc>
          <w:tcPr>
            <w:tcW w:w="1933" w:type="pct"/>
            <w:shd w:val="clear" w:color="auto" w:fill="D9D9D9"/>
          </w:tcPr>
          <w:p w14:paraId="4D974A02" w14:textId="77777777" w:rsidR="001C3A3F" w:rsidRDefault="001C3A3F" w:rsidP="001C3A3F">
            <w:pPr>
              <w:ind w:right="-211"/>
            </w:pPr>
          </w:p>
        </w:tc>
        <w:tc>
          <w:tcPr>
            <w:tcW w:w="1234" w:type="pct"/>
            <w:shd w:val="clear" w:color="auto" w:fill="D9D9D9"/>
          </w:tcPr>
          <w:p w14:paraId="4D974A03" w14:textId="77777777" w:rsidR="001C3A3F" w:rsidRDefault="001C3A3F" w:rsidP="001C3A3F">
            <w:pPr>
              <w:tabs>
                <w:tab w:val="decimal" w:pos="1167"/>
              </w:tabs>
              <w:ind w:right="-211"/>
            </w:pPr>
          </w:p>
        </w:tc>
      </w:tr>
      <w:tr w:rsidR="001C3A3F" w14:paraId="4D974A09" w14:textId="77777777" w:rsidTr="001C3A3F">
        <w:tc>
          <w:tcPr>
            <w:tcW w:w="542" w:type="pct"/>
            <w:vMerge w:val="restart"/>
            <w:hideMark/>
          </w:tcPr>
          <w:p w14:paraId="4D974A05" w14:textId="5B838B77" w:rsidR="001C3A3F" w:rsidRDefault="001C3A3F" w:rsidP="001C3A3F">
            <w:r>
              <w:t>2016</w:t>
            </w:r>
          </w:p>
        </w:tc>
        <w:tc>
          <w:tcPr>
            <w:tcW w:w="1291" w:type="pct"/>
            <w:vMerge w:val="restart"/>
            <w:hideMark/>
          </w:tcPr>
          <w:p w14:paraId="4D974A06" w14:textId="13F2C35C" w:rsidR="001C3A3F" w:rsidRDefault="001C3A3F" w:rsidP="001C3A3F">
            <w:pPr>
              <w:ind w:right="-211"/>
            </w:pPr>
            <w:r w:rsidRPr="00A13499">
              <w:rPr>
                <w:i/>
              </w:rPr>
              <w:t>Core</w:t>
            </w:r>
          </w:p>
        </w:tc>
        <w:tc>
          <w:tcPr>
            <w:tcW w:w="1933" w:type="pct"/>
            <w:hideMark/>
          </w:tcPr>
          <w:p w14:paraId="4D974A07" w14:textId="62297EA2" w:rsidR="001C3A3F" w:rsidRDefault="001C3A3F" w:rsidP="001C3A3F">
            <w:pPr>
              <w:ind w:right="-211"/>
            </w:pPr>
            <w:r>
              <w:t>1. Noorwegen</w:t>
            </w:r>
          </w:p>
        </w:tc>
        <w:tc>
          <w:tcPr>
            <w:tcW w:w="1234" w:type="pct"/>
          </w:tcPr>
          <w:p w14:paraId="4D974A08" w14:textId="51D5D3AE" w:rsidR="001C3A3F" w:rsidRDefault="00B142FC" w:rsidP="00B142FC">
            <w:pPr>
              <w:tabs>
                <w:tab w:val="decimal" w:pos="1026"/>
              </w:tabs>
              <w:ind w:right="-550"/>
              <w:jc w:val="both"/>
            </w:pPr>
            <w:r>
              <w:t xml:space="preserve"> </w:t>
            </w:r>
            <w:r w:rsidR="001C3A3F">
              <w:t>7,1</w:t>
            </w:r>
          </w:p>
        </w:tc>
      </w:tr>
      <w:tr w:rsidR="001C3A3F" w14:paraId="4D974A0E" w14:textId="77777777" w:rsidTr="001C3A3F">
        <w:tc>
          <w:tcPr>
            <w:tcW w:w="542" w:type="pct"/>
            <w:vMerge/>
          </w:tcPr>
          <w:p w14:paraId="4D974A0A" w14:textId="77777777" w:rsidR="001C3A3F" w:rsidRDefault="001C3A3F" w:rsidP="001C3A3F">
            <w:pPr>
              <w:ind w:right="-211"/>
            </w:pPr>
          </w:p>
        </w:tc>
        <w:tc>
          <w:tcPr>
            <w:tcW w:w="1291" w:type="pct"/>
            <w:vMerge/>
          </w:tcPr>
          <w:p w14:paraId="4D974A0B" w14:textId="77777777" w:rsidR="001C3A3F" w:rsidRDefault="001C3A3F" w:rsidP="001C3A3F">
            <w:pPr>
              <w:ind w:right="-211"/>
            </w:pPr>
          </w:p>
        </w:tc>
        <w:tc>
          <w:tcPr>
            <w:tcW w:w="1933" w:type="pct"/>
            <w:hideMark/>
          </w:tcPr>
          <w:p w14:paraId="4D974A0C" w14:textId="6CEBE4F7" w:rsidR="001C3A3F" w:rsidRDefault="001C3A3F" w:rsidP="001C3A3F">
            <w:pPr>
              <w:ind w:right="-211"/>
            </w:pPr>
            <w:r>
              <w:t>2. Zweden</w:t>
            </w:r>
          </w:p>
        </w:tc>
        <w:tc>
          <w:tcPr>
            <w:tcW w:w="1234" w:type="pct"/>
          </w:tcPr>
          <w:p w14:paraId="4D974A0D" w14:textId="3C5E7EFB" w:rsidR="001C3A3F" w:rsidRDefault="00B142FC" w:rsidP="00B142FC">
            <w:pPr>
              <w:tabs>
                <w:tab w:val="decimal" w:pos="1026"/>
              </w:tabs>
              <w:ind w:right="-211"/>
              <w:jc w:val="both"/>
            </w:pPr>
            <w:r>
              <w:t xml:space="preserve">   </w:t>
            </w:r>
            <w:r w:rsidR="001C3A3F">
              <w:t>5,9</w:t>
            </w:r>
          </w:p>
        </w:tc>
      </w:tr>
      <w:tr w:rsidR="001C3A3F" w14:paraId="4D974A13" w14:textId="77777777" w:rsidTr="001C3A3F">
        <w:tc>
          <w:tcPr>
            <w:tcW w:w="542" w:type="pct"/>
            <w:vMerge/>
          </w:tcPr>
          <w:p w14:paraId="4D974A0F" w14:textId="77777777" w:rsidR="001C3A3F" w:rsidRDefault="001C3A3F" w:rsidP="001C3A3F">
            <w:pPr>
              <w:ind w:right="-211"/>
            </w:pPr>
          </w:p>
        </w:tc>
        <w:tc>
          <w:tcPr>
            <w:tcW w:w="1291" w:type="pct"/>
            <w:vMerge/>
          </w:tcPr>
          <w:p w14:paraId="4D974A10" w14:textId="77777777" w:rsidR="001C3A3F" w:rsidRDefault="001C3A3F" w:rsidP="001C3A3F">
            <w:pPr>
              <w:ind w:right="-211"/>
            </w:pPr>
          </w:p>
        </w:tc>
        <w:tc>
          <w:tcPr>
            <w:tcW w:w="1933" w:type="pct"/>
            <w:hideMark/>
          </w:tcPr>
          <w:p w14:paraId="4D974A11" w14:textId="30BBC8F3" w:rsidR="001C3A3F" w:rsidRPr="00B142FC" w:rsidRDefault="001C3A3F" w:rsidP="001C3A3F">
            <w:pPr>
              <w:ind w:right="-211"/>
              <w:rPr>
                <w:b/>
              </w:rPr>
            </w:pPr>
            <w:r w:rsidRPr="00B142FC">
              <w:rPr>
                <w:b/>
              </w:rPr>
              <w:t>3. Nederland</w:t>
            </w:r>
          </w:p>
        </w:tc>
        <w:tc>
          <w:tcPr>
            <w:tcW w:w="1234" w:type="pct"/>
          </w:tcPr>
          <w:p w14:paraId="4D974A12" w14:textId="77777777" w:rsidR="001C3A3F" w:rsidRDefault="001C3A3F" w:rsidP="00B142FC">
            <w:pPr>
              <w:tabs>
                <w:tab w:val="decimal" w:pos="1026"/>
              </w:tabs>
              <w:ind w:right="-211"/>
              <w:jc w:val="both"/>
            </w:pPr>
            <w:r>
              <w:t>5,6</w:t>
            </w:r>
          </w:p>
        </w:tc>
      </w:tr>
      <w:tr w:rsidR="001C3A3F" w14:paraId="4D974A18" w14:textId="77777777" w:rsidTr="001C3A3F">
        <w:tc>
          <w:tcPr>
            <w:tcW w:w="542" w:type="pct"/>
            <w:vMerge/>
          </w:tcPr>
          <w:p w14:paraId="4D974A14" w14:textId="77777777" w:rsidR="001C3A3F" w:rsidRDefault="001C3A3F" w:rsidP="001C3A3F">
            <w:pPr>
              <w:ind w:right="-211"/>
            </w:pPr>
          </w:p>
        </w:tc>
        <w:tc>
          <w:tcPr>
            <w:tcW w:w="1291" w:type="pct"/>
            <w:vMerge w:val="restart"/>
            <w:hideMark/>
          </w:tcPr>
          <w:p w14:paraId="4D974A15" w14:textId="224CFF9C" w:rsidR="001C3A3F" w:rsidRDefault="001C3A3F" w:rsidP="001C3A3F">
            <w:pPr>
              <w:ind w:right="-211"/>
            </w:pPr>
            <w:r w:rsidRPr="00A13499">
              <w:rPr>
                <w:i/>
              </w:rPr>
              <w:t>Non-core</w:t>
            </w:r>
            <w:r>
              <w:rPr>
                <w:rStyle w:val="FootnoteReference"/>
              </w:rPr>
              <w:footnoteReference w:id="3"/>
            </w:r>
            <w:r>
              <w:t xml:space="preserve"> </w:t>
            </w:r>
          </w:p>
        </w:tc>
        <w:tc>
          <w:tcPr>
            <w:tcW w:w="1933" w:type="pct"/>
            <w:hideMark/>
          </w:tcPr>
          <w:p w14:paraId="4D974A16" w14:textId="4232ACE3" w:rsidR="001C3A3F" w:rsidRDefault="001C3A3F" w:rsidP="001C3A3F">
            <w:pPr>
              <w:ind w:right="-211"/>
            </w:pPr>
            <w:r>
              <w:t xml:space="preserve">1. </w:t>
            </w:r>
          </w:p>
        </w:tc>
        <w:tc>
          <w:tcPr>
            <w:tcW w:w="1234" w:type="pct"/>
          </w:tcPr>
          <w:p w14:paraId="4D974A17" w14:textId="76E991CA" w:rsidR="001C3A3F" w:rsidRDefault="001C3A3F" w:rsidP="00B142FC">
            <w:pPr>
              <w:tabs>
                <w:tab w:val="decimal" w:pos="1026"/>
              </w:tabs>
              <w:ind w:right="-211"/>
              <w:jc w:val="both"/>
            </w:pPr>
          </w:p>
        </w:tc>
      </w:tr>
      <w:tr w:rsidR="001C3A3F" w14:paraId="4D974A1D" w14:textId="77777777" w:rsidTr="001C3A3F">
        <w:tc>
          <w:tcPr>
            <w:tcW w:w="542" w:type="pct"/>
            <w:vMerge/>
          </w:tcPr>
          <w:p w14:paraId="4D974A19" w14:textId="77777777" w:rsidR="001C3A3F" w:rsidRDefault="001C3A3F" w:rsidP="001C3A3F">
            <w:pPr>
              <w:ind w:right="-211"/>
            </w:pPr>
          </w:p>
        </w:tc>
        <w:tc>
          <w:tcPr>
            <w:tcW w:w="1291" w:type="pct"/>
            <w:vMerge/>
          </w:tcPr>
          <w:p w14:paraId="4D974A1A" w14:textId="77777777" w:rsidR="001C3A3F" w:rsidRDefault="001C3A3F" w:rsidP="001C3A3F">
            <w:pPr>
              <w:ind w:right="-211"/>
            </w:pPr>
          </w:p>
        </w:tc>
        <w:tc>
          <w:tcPr>
            <w:tcW w:w="1933" w:type="pct"/>
            <w:hideMark/>
          </w:tcPr>
          <w:p w14:paraId="4D974A1B" w14:textId="428B9CF6" w:rsidR="001C3A3F" w:rsidRDefault="001C3A3F" w:rsidP="001C3A3F">
            <w:pPr>
              <w:ind w:right="-211"/>
            </w:pPr>
            <w:r>
              <w:t xml:space="preserve">2. </w:t>
            </w:r>
          </w:p>
        </w:tc>
        <w:tc>
          <w:tcPr>
            <w:tcW w:w="1234" w:type="pct"/>
          </w:tcPr>
          <w:p w14:paraId="4D974A1C" w14:textId="71818D26" w:rsidR="001C3A3F" w:rsidRDefault="001C3A3F" w:rsidP="00B142FC">
            <w:pPr>
              <w:tabs>
                <w:tab w:val="decimal" w:pos="1026"/>
              </w:tabs>
              <w:ind w:right="-211"/>
              <w:jc w:val="both"/>
            </w:pPr>
          </w:p>
        </w:tc>
      </w:tr>
      <w:tr w:rsidR="001C3A3F" w14:paraId="4D974A22" w14:textId="77777777" w:rsidTr="001C3A3F">
        <w:tc>
          <w:tcPr>
            <w:tcW w:w="542" w:type="pct"/>
            <w:vMerge/>
          </w:tcPr>
          <w:p w14:paraId="4D974A1E" w14:textId="77777777" w:rsidR="001C3A3F" w:rsidRDefault="001C3A3F" w:rsidP="001C3A3F">
            <w:pPr>
              <w:ind w:right="-211"/>
            </w:pPr>
          </w:p>
        </w:tc>
        <w:tc>
          <w:tcPr>
            <w:tcW w:w="1291" w:type="pct"/>
            <w:vMerge/>
          </w:tcPr>
          <w:p w14:paraId="4D974A1F" w14:textId="77777777" w:rsidR="001C3A3F" w:rsidRDefault="001C3A3F" w:rsidP="001C3A3F">
            <w:pPr>
              <w:ind w:right="-211"/>
            </w:pPr>
          </w:p>
        </w:tc>
        <w:tc>
          <w:tcPr>
            <w:tcW w:w="1933" w:type="pct"/>
            <w:hideMark/>
          </w:tcPr>
          <w:p w14:paraId="4D974A20" w14:textId="1D47F87F" w:rsidR="001C3A3F" w:rsidRDefault="00B142FC" w:rsidP="001C3A3F">
            <w:pPr>
              <w:ind w:right="-211"/>
            </w:pPr>
            <w:r>
              <w:t>3</w:t>
            </w:r>
            <w:r w:rsidR="001C3A3F">
              <w:t xml:space="preserve">. </w:t>
            </w:r>
          </w:p>
        </w:tc>
        <w:tc>
          <w:tcPr>
            <w:tcW w:w="1234" w:type="pct"/>
          </w:tcPr>
          <w:p w14:paraId="4D974A21" w14:textId="5A5C2A87" w:rsidR="001C3A3F" w:rsidRDefault="001C3A3F" w:rsidP="00B142FC">
            <w:pPr>
              <w:tabs>
                <w:tab w:val="decimal" w:pos="1026"/>
              </w:tabs>
              <w:ind w:right="-211"/>
              <w:jc w:val="both"/>
            </w:pPr>
          </w:p>
        </w:tc>
      </w:tr>
      <w:tr w:rsidR="001C3A3F" w14:paraId="4D974A27" w14:textId="77777777" w:rsidTr="001C3A3F">
        <w:tc>
          <w:tcPr>
            <w:tcW w:w="542" w:type="pct"/>
            <w:vMerge/>
          </w:tcPr>
          <w:p w14:paraId="4D974A23" w14:textId="77777777" w:rsidR="001C3A3F" w:rsidRDefault="001C3A3F" w:rsidP="001C3A3F">
            <w:pPr>
              <w:ind w:right="-211"/>
            </w:pPr>
          </w:p>
        </w:tc>
        <w:tc>
          <w:tcPr>
            <w:tcW w:w="1291" w:type="pct"/>
            <w:vMerge w:val="restart"/>
            <w:hideMark/>
          </w:tcPr>
          <w:p w14:paraId="4D974A24" w14:textId="77777777" w:rsidR="001C3A3F" w:rsidRDefault="001C3A3F" w:rsidP="001C3A3F">
            <w:pPr>
              <w:ind w:right="-211"/>
            </w:pPr>
            <w:r>
              <w:t>Totaal bijdrage</w:t>
            </w:r>
          </w:p>
        </w:tc>
        <w:tc>
          <w:tcPr>
            <w:tcW w:w="1933" w:type="pct"/>
            <w:hideMark/>
          </w:tcPr>
          <w:p w14:paraId="4D974A25" w14:textId="77777777" w:rsidR="001C3A3F" w:rsidRDefault="001C3A3F" w:rsidP="001C3A3F">
            <w:pPr>
              <w:ind w:right="-211"/>
            </w:pPr>
            <w:r>
              <w:t>1. Verenigde Staten</w:t>
            </w:r>
          </w:p>
        </w:tc>
        <w:tc>
          <w:tcPr>
            <w:tcW w:w="1234" w:type="pct"/>
          </w:tcPr>
          <w:p w14:paraId="4D974A26" w14:textId="77777777" w:rsidR="001C3A3F" w:rsidRDefault="001C3A3F" w:rsidP="00B142FC">
            <w:pPr>
              <w:tabs>
                <w:tab w:val="decimal" w:pos="1026"/>
              </w:tabs>
              <w:ind w:right="-211"/>
              <w:jc w:val="both"/>
            </w:pPr>
            <w:r>
              <w:t>17,1</w:t>
            </w:r>
          </w:p>
        </w:tc>
      </w:tr>
      <w:tr w:rsidR="001C3A3F" w14:paraId="4D974A2C" w14:textId="77777777" w:rsidTr="001C3A3F">
        <w:tc>
          <w:tcPr>
            <w:tcW w:w="542" w:type="pct"/>
            <w:vMerge/>
          </w:tcPr>
          <w:p w14:paraId="4D974A28" w14:textId="77777777" w:rsidR="001C3A3F" w:rsidRDefault="001C3A3F" w:rsidP="001C3A3F">
            <w:pPr>
              <w:ind w:right="-211"/>
            </w:pPr>
          </w:p>
        </w:tc>
        <w:tc>
          <w:tcPr>
            <w:tcW w:w="1291" w:type="pct"/>
            <w:vMerge/>
          </w:tcPr>
          <w:p w14:paraId="4D974A29" w14:textId="77777777" w:rsidR="001C3A3F" w:rsidRDefault="001C3A3F" w:rsidP="001C3A3F">
            <w:pPr>
              <w:ind w:right="-211"/>
            </w:pPr>
          </w:p>
        </w:tc>
        <w:tc>
          <w:tcPr>
            <w:tcW w:w="1933" w:type="pct"/>
            <w:hideMark/>
          </w:tcPr>
          <w:p w14:paraId="4D974A2A" w14:textId="77777777" w:rsidR="001C3A3F" w:rsidRDefault="001C3A3F" w:rsidP="001C3A3F">
            <w:pPr>
              <w:ind w:right="-211"/>
            </w:pPr>
            <w:r>
              <w:t>2. Noorwegen</w:t>
            </w:r>
          </w:p>
        </w:tc>
        <w:tc>
          <w:tcPr>
            <w:tcW w:w="1234" w:type="pct"/>
          </w:tcPr>
          <w:p w14:paraId="4D974A2B" w14:textId="77777777" w:rsidR="001C3A3F" w:rsidRDefault="001C3A3F" w:rsidP="00B142FC">
            <w:pPr>
              <w:tabs>
                <w:tab w:val="decimal" w:pos="1026"/>
              </w:tabs>
              <w:ind w:right="-211"/>
              <w:jc w:val="both"/>
            </w:pPr>
            <w:r>
              <w:t>12,3</w:t>
            </w:r>
          </w:p>
        </w:tc>
      </w:tr>
      <w:tr w:rsidR="001C3A3F" w14:paraId="2BFEE19F" w14:textId="77777777" w:rsidTr="001C3A3F">
        <w:tc>
          <w:tcPr>
            <w:tcW w:w="542" w:type="pct"/>
            <w:vMerge/>
          </w:tcPr>
          <w:p w14:paraId="2CDAA35E" w14:textId="77777777" w:rsidR="001C3A3F" w:rsidRDefault="001C3A3F" w:rsidP="001C3A3F">
            <w:pPr>
              <w:ind w:right="-211"/>
            </w:pPr>
          </w:p>
        </w:tc>
        <w:tc>
          <w:tcPr>
            <w:tcW w:w="1291" w:type="pct"/>
            <w:vMerge/>
          </w:tcPr>
          <w:p w14:paraId="5ABA136E" w14:textId="77777777" w:rsidR="001C3A3F" w:rsidRDefault="001C3A3F" w:rsidP="001C3A3F">
            <w:pPr>
              <w:ind w:right="-211"/>
            </w:pPr>
          </w:p>
        </w:tc>
        <w:tc>
          <w:tcPr>
            <w:tcW w:w="1933" w:type="pct"/>
          </w:tcPr>
          <w:p w14:paraId="2F884B56" w14:textId="67BB0C59" w:rsidR="001C3A3F" w:rsidRDefault="001C3A3F" w:rsidP="001C3A3F">
            <w:pPr>
              <w:ind w:right="-211"/>
            </w:pPr>
            <w:r>
              <w:t>3. Zweden</w:t>
            </w:r>
          </w:p>
        </w:tc>
        <w:tc>
          <w:tcPr>
            <w:tcW w:w="1234" w:type="pct"/>
          </w:tcPr>
          <w:p w14:paraId="1ABEFD0F" w14:textId="69DACA6C" w:rsidR="001C3A3F" w:rsidRDefault="001C3A3F" w:rsidP="00B142FC">
            <w:pPr>
              <w:tabs>
                <w:tab w:val="decimal" w:pos="1026"/>
              </w:tabs>
              <w:ind w:right="-211"/>
              <w:jc w:val="both"/>
            </w:pPr>
            <w:r>
              <w:t>11,9</w:t>
            </w:r>
          </w:p>
        </w:tc>
      </w:tr>
      <w:tr w:rsidR="001C3A3F" w14:paraId="4D974A31" w14:textId="77777777" w:rsidTr="001C3A3F">
        <w:trPr>
          <w:trHeight w:val="96"/>
        </w:trPr>
        <w:tc>
          <w:tcPr>
            <w:tcW w:w="542" w:type="pct"/>
            <w:vMerge/>
          </w:tcPr>
          <w:p w14:paraId="4D974A2D" w14:textId="77777777" w:rsidR="001C3A3F" w:rsidRDefault="001C3A3F" w:rsidP="001C3A3F">
            <w:pPr>
              <w:ind w:right="-211"/>
            </w:pPr>
          </w:p>
        </w:tc>
        <w:tc>
          <w:tcPr>
            <w:tcW w:w="1291" w:type="pct"/>
            <w:vMerge/>
          </w:tcPr>
          <w:p w14:paraId="4D974A2E" w14:textId="77777777" w:rsidR="001C3A3F" w:rsidRDefault="001C3A3F" w:rsidP="001C3A3F">
            <w:pPr>
              <w:ind w:right="-211"/>
            </w:pPr>
          </w:p>
        </w:tc>
        <w:tc>
          <w:tcPr>
            <w:tcW w:w="1933" w:type="pct"/>
            <w:hideMark/>
          </w:tcPr>
          <w:p w14:paraId="4D974A2F" w14:textId="77777777" w:rsidR="001C3A3F" w:rsidRPr="00B142FC" w:rsidRDefault="001C3A3F" w:rsidP="001C3A3F">
            <w:pPr>
              <w:ind w:right="-211"/>
              <w:rPr>
                <w:b/>
              </w:rPr>
            </w:pPr>
            <w:r w:rsidRPr="00B142FC">
              <w:rPr>
                <w:b/>
              </w:rPr>
              <w:t>6. Nederland</w:t>
            </w:r>
          </w:p>
        </w:tc>
        <w:tc>
          <w:tcPr>
            <w:tcW w:w="1234" w:type="pct"/>
          </w:tcPr>
          <w:p w14:paraId="4D974A30" w14:textId="77777777" w:rsidR="001C3A3F" w:rsidRDefault="001C3A3F" w:rsidP="00B142FC">
            <w:pPr>
              <w:tabs>
                <w:tab w:val="decimal" w:pos="1026"/>
              </w:tabs>
              <w:ind w:right="-211"/>
              <w:jc w:val="both"/>
            </w:pPr>
            <w:r>
              <w:t>9,5</w:t>
            </w:r>
          </w:p>
        </w:tc>
      </w:tr>
    </w:tbl>
    <w:p w14:paraId="2B5406D8" w14:textId="77777777" w:rsidR="001C3A3F" w:rsidRDefault="001C3A3F" w:rsidP="00323EB8"/>
    <w:p w14:paraId="4D974A32" w14:textId="77EF1DB8" w:rsidR="00323EB8" w:rsidRDefault="00323EB8" w:rsidP="00323EB8">
      <w:r>
        <w:t>* OHCHR krijgt geen contributies, dus het gaat hier alleen om ongeoormerkte vrijwillige bijdragen.</w:t>
      </w:r>
    </w:p>
    <w:p w14:paraId="4D974A33" w14:textId="77777777" w:rsidR="005150FC" w:rsidRPr="00B95FC2" w:rsidRDefault="00641D98" w:rsidP="00B95FC2">
      <w:r>
        <w:t xml:space="preserve"> </w:t>
      </w:r>
    </w:p>
    <w:p w14:paraId="4D974A34" w14:textId="56350865" w:rsidR="009811DF" w:rsidRDefault="005519BB" w:rsidP="00F24A31">
      <w:pPr>
        <w:pStyle w:val="Heading1"/>
        <w:tabs>
          <w:tab w:val="num" w:pos="0"/>
        </w:tabs>
        <w:spacing w:after="240" w:line="240" w:lineRule="auto"/>
        <w:ind w:hanging="1162"/>
      </w:pPr>
      <w:bookmarkStart w:id="31" w:name="_Toc491259068"/>
      <w:r>
        <w:lastRenderedPageBreak/>
        <w:t>4</w:t>
      </w:r>
      <w:r w:rsidR="00F24A31">
        <w:t xml:space="preserve"> </w:t>
      </w:r>
      <w:r w:rsidR="00F24A31">
        <w:tab/>
      </w:r>
      <w:r w:rsidR="006C1EB0">
        <w:t>Institutionele aspecten</w:t>
      </w:r>
      <w:r w:rsidR="00D745A7">
        <w:t xml:space="preserve"> </w:t>
      </w:r>
      <w:r w:rsidR="009B1466">
        <w:t xml:space="preserve">en functioneren </w:t>
      </w:r>
      <w:r w:rsidR="00D745A7">
        <w:t>van de organisatie</w:t>
      </w:r>
      <w:bookmarkEnd w:id="31"/>
    </w:p>
    <w:p w14:paraId="3228AE3D" w14:textId="77777777" w:rsidR="005519BB" w:rsidRPr="005519BB" w:rsidRDefault="005519BB" w:rsidP="005519BB">
      <w:pPr>
        <w:pStyle w:val="ListParagraph"/>
        <w:keepNext/>
        <w:widowControl w:val="0"/>
        <w:numPr>
          <w:ilvl w:val="0"/>
          <w:numId w:val="20"/>
        </w:numPr>
        <w:tabs>
          <w:tab w:val="left" w:pos="-1162"/>
          <w:tab w:val="left" w:pos="0"/>
        </w:tabs>
        <w:spacing w:before="200" w:line="240" w:lineRule="auto"/>
        <w:outlineLvl w:val="1"/>
        <w:rPr>
          <w:rFonts w:cs="Arial"/>
          <w:b/>
          <w:iCs/>
          <w:vanish/>
          <w:kern w:val="32"/>
          <w:szCs w:val="28"/>
        </w:rPr>
      </w:pPr>
    </w:p>
    <w:p w14:paraId="70758911" w14:textId="77777777" w:rsidR="005519BB" w:rsidRPr="005519BB" w:rsidRDefault="005519BB" w:rsidP="005519BB">
      <w:pPr>
        <w:pStyle w:val="ListParagraph"/>
        <w:keepNext/>
        <w:widowControl w:val="0"/>
        <w:numPr>
          <w:ilvl w:val="0"/>
          <w:numId w:val="20"/>
        </w:numPr>
        <w:tabs>
          <w:tab w:val="left" w:pos="-1162"/>
          <w:tab w:val="left" w:pos="0"/>
        </w:tabs>
        <w:spacing w:before="200" w:line="240" w:lineRule="auto"/>
        <w:outlineLvl w:val="1"/>
        <w:rPr>
          <w:rFonts w:cs="Arial"/>
          <w:b/>
          <w:iCs/>
          <w:vanish/>
          <w:kern w:val="32"/>
          <w:szCs w:val="28"/>
        </w:rPr>
      </w:pPr>
    </w:p>
    <w:p w14:paraId="4D974A35" w14:textId="0C64A307" w:rsidR="00D745A7" w:rsidRPr="004D372F" w:rsidRDefault="000C7B90" w:rsidP="00ED4248">
      <w:pPr>
        <w:pStyle w:val="Heading2"/>
        <w:numPr>
          <w:ilvl w:val="1"/>
          <w:numId w:val="20"/>
        </w:numPr>
        <w:tabs>
          <w:tab w:val="left" w:pos="-1162"/>
          <w:tab w:val="left" w:pos="0"/>
        </w:tabs>
        <w:spacing w:line="240" w:lineRule="auto"/>
      </w:pPr>
      <w:r>
        <w:t xml:space="preserve">      </w:t>
      </w:r>
      <w:r w:rsidR="005519BB">
        <w:t xml:space="preserve"> </w:t>
      </w:r>
      <w:r w:rsidR="001B06FD">
        <w:tab/>
      </w:r>
      <w:bookmarkStart w:id="32" w:name="_Toc491259069"/>
      <w:r w:rsidR="00743337">
        <w:t xml:space="preserve">Strategie en </w:t>
      </w:r>
      <w:r w:rsidR="002A310E">
        <w:t>verantwoording</w:t>
      </w:r>
      <w:bookmarkEnd w:id="32"/>
    </w:p>
    <w:p w14:paraId="4D974A54" w14:textId="5E517998" w:rsidR="007F512A" w:rsidRPr="005E4531" w:rsidRDefault="00443B21" w:rsidP="000C7B90">
      <w:pPr>
        <w:ind w:right="-211"/>
        <w:rPr>
          <w:rFonts w:eastAsia="Arial Unicode MS"/>
        </w:rPr>
      </w:pPr>
      <w:r w:rsidRPr="005E4531">
        <w:t xml:space="preserve">Het lange termijn doel van OHCHR is het bevorderen en beschermen van mensenrechten voor iedereen. </w:t>
      </w:r>
      <w:r w:rsidRPr="005E4531">
        <w:rPr>
          <w:rFonts w:eastAsia="Arial Unicode MS"/>
        </w:rPr>
        <w:t xml:space="preserve">OHCHR heeft een exclusief mandaat voor het versterken, stroomlijnen en toezien op de implementatie van mensenrechten binnen de VN. </w:t>
      </w:r>
      <w:r w:rsidR="007041D0" w:rsidRPr="005E4531">
        <w:rPr>
          <w:rFonts w:eastAsia="Arial Unicode MS"/>
        </w:rPr>
        <w:t xml:space="preserve">Dit mandaat is uiteengezet in Resolutie 48/141 van de Algemene Vergadering van de VN. </w:t>
      </w:r>
      <w:r w:rsidRPr="005E4531">
        <w:rPr>
          <w:rFonts w:eastAsia="Arial Unicode MS"/>
        </w:rPr>
        <w:t>Om aan deze doelstelling te voldoen heeft OHCHR een vierjarig Strategisch Management Plan (SMP, 2014-2017) opgesteld.</w:t>
      </w:r>
      <w:r w:rsidR="007F512A" w:rsidRPr="005E4531">
        <w:rPr>
          <w:rFonts w:eastAsia="Arial Unicode MS"/>
        </w:rPr>
        <w:t xml:space="preserve"> In 2017, het laatste jaar van het huidige plan, gaat OHCHR de strategische koers voor de komende vier jaar vaststel</w:t>
      </w:r>
      <w:r w:rsidR="00EB6B45" w:rsidRPr="005E4531">
        <w:rPr>
          <w:rFonts w:eastAsia="Arial Unicode MS"/>
        </w:rPr>
        <w:t>l</w:t>
      </w:r>
      <w:r w:rsidR="007F512A" w:rsidRPr="005E4531">
        <w:rPr>
          <w:rFonts w:eastAsia="Arial Unicode MS"/>
        </w:rPr>
        <w:t xml:space="preserve">en. De nieuwe strategie zal dan ook rekening houden met de 2030 </w:t>
      </w:r>
      <w:r w:rsidR="007F512A" w:rsidRPr="001B06FD">
        <w:rPr>
          <w:rFonts w:eastAsia="Arial Unicode MS"/>
          <w:i/>
        </w:rPr>
        <w:t>Sustainable Development Agenda</w:t>
      </w:r>
      <w:r w:rsidR="00CD78DD">
        <w:rPr>
          <w:rFonts w:eastAsia="Arial Unicode MS"/>
        </w:rPr>
        <w:t>.</w:t>
      </w:r>
      <w:r w:rsidR="007F512A" w:rsidRPr="005E4531">
        <w:rPr>
          <w:rFonts w:eastAsia="Arial Unicode MS"/>
        </w:rPr>
        <w:t xml:space="preserve"> </w:t>
      </w:r>
    </w:p>
    <w:p w14:paraId="4D974A55" w14:textId="77777777" w:rsidR="00443B21" w:rsidRPr="005E4531" w:rsidRDefault="00443B21" w:rsidP="00FD436D">
      <w:pPr>
        <w:rPr>
          <w:rFonts w:eastAsia="Arial Unicode MS"/>
        </w:rPr>
      </w:pPr>
    </w:p>
    <w:p w14:paraId="4D974A56" w14:textId="77777777" w:rsidR="00443B21" w:rsidRPr="005E4531" w:rsidRDefault="00443B21" w:rsidP="00443B21">
      <w:pPr>
        <w:pStyle w:val="Default"/>
        <w:rPr>
          <w:rFonts w:ascii="Verdana" w:hAnsi="Verdana" w:cs="Times New Roman"/>
          <w:color w:val="auto"/>
          <w:sz w:val="18"/>
          <w:szCs w:val="18"/>
        </w:rPr>
      </w:pPr>
      <w:r w:rsidRPr="005E4531">
        <w:rPr>
          <w:rFonts w:ascii="Verdana" w:eastAsia="Arial Unicode MS" w:hAnsi="Verdana"/>
          <w:color w:val="auto"/>
          <w:sz w:val="18"/>
          <w:szCs w:val="18"/>
        </w:rPr>
        <w:t xml:space="preserve">Het Strategisch Management Plan sluit aan bij het </w:t>
      </w:r>
      <w:r w:rsidRPr="001B06FD">
        <w:rPr>
          <w:rFonts w:ascii="Verdana" w:eastAsia="Arial Unicode MS" w:hAnsi="Verdana"/>
          <w:i/>
          <w:color w:val="auto"/>
          <w:sz w:val="18"/>
          <w:szCs w:val="18"/>
        </w:rPr>
        <w:t>Secretary-General’s Strategic Framework for 2014-2015</w:t>
      </w:r>
      <w:r w:rsidRPr="005E4531">
        <w:rPr>
          <w:rFonts w:ascii="Verdana" w:eastAsia="Arial Unicode MS" w:hAnsi="Verdana"/>
          <w:color w:val="auto"/>
          <w:sz w:val="18"/>
          <w:szCs w:val="18"/>
        </w:rPr>
        <w:t xml:space="preserve"> en de mandaten die door de VN aan OHCHR zijn verstrekt. De prioriteiten sluiten</w:t>
      </w:r>
      <w:r w:rsidR="002007E8" w:rsidRPr="005E4531">
        <w:rPr>
          <w:rFonts w:ascii="Verdana" w:eastAsia="Arial Unicode MS" w:hAnsi="Verdana"/>
          <w:color w:val="auto"/>
          <w:sz w:val="18"/>
          <w:szCs w:val="18"/>
        </w:rPr>
        <w:t xml:space="preserve"> bovendien</w:t>
      </w:r>
      <w:r w:rsidRPr="005E4531">
        <w:rPr>
          <w:rFonts w:ascii="Verdana" w:eastAsia="Arial Unicode MS" w:hAnsi="Verdana"/>
          <w:color w:val="auto"/>
          <w:sz w:val="18"/>
          <w:szCs w:val="18"/>
        </w:rPr>
        <w:t xml:space="preserve"> goed aan bij de Nederlandse </w:t>
      </w:r>
      <w:r w:rsidRPr="005E4531">
        <w:rPr>
          <w:rFonts w:ascii="Verdana" w:hAnsi="Verdana"/>
          <w:color w:val="auto"/>
          <w:sz w:val="18"/>
          <w:szCs w:val="18"/>
        </w:rPr>
        <w:t>prioriteiten uit de nota ‘Respect en recht voor ieder mens’.</w:t>
      </w:r>
    </w:p>
    <w:p w14:paraId="4D974A57" w14:textId="77777777" w:rsidR="00443B21" w:rsidRPr="005E4531" w:rsidRDefault="00443B21" w:rsidP="00FD436D">
      <w:pPr>
        <w:rPr>
          <w:rFonts w:eastAsia="Arial Unicode MS"/>
        </w:rPr>
      </w:pPr>
      <w:r w:rsidRPr="005E4531">
        <w:rPr>
          <w:rFonts w:eastAsia="Arial Unicode MS"/>
        </w:rPr>
        <w:t xml:space="preserve"> </w:t>
      </w:r>
    </w:p>
    <w:p w14:paraId="4D974A58" w14:textId="77777777" w:rsidR="00443B21" w:rsidRPr="005E4531" w:rsidRDefault="00443B21" w:rsidP="00FD436D">
      <w:pPr>
        <w:rPr>
          <w:rFonts w:eastAsia="Arial Unicode MS"/>
        </w:rPr>
      </w:pPr>
      <w:r w:rsidRPr="005E4531">
        <w:rPr>
          <w:rFonts w:eastAsia="Arial Unicode MS"/>
        </w:rPr>
        <w:t>De thematische prioriteiten voor de periode 2014-2017 zijn:</w:t>
      </w:r>
    </w:p>
    <w:p w14:paraId="2B186322" w14:textId="77777777" w:rsidR="00F44C9C" w:rsidRDefault="008E78DD" w:rsidP="00CF3D6A">
      <w:pPr>
        <w:rPr>
          <w:rFonts w:eastAsia="Arial Unicode MS"/>
        </w:rPr>
      </w:pPr>
      <w:r>
        <w:rPr>
          <w:rFonts w:eastAsia="Arial Unicode MS"/>
        </w:rPr>
        <w:t xml:space="preserve">1. </w:t>
      </w:r>
      <w:r w:rsidR="00443B21" w:rsidRPr="005E4531">
        <w:rPr>
          <w:rFonts w:eastAsia="Arial Unicode MS"/>
        </w:rPr>
        <w:t>Versterking van de internationale mensenrechtenmechanismen</w:t>
      </w:r>
      <w:r>
        <w:rPr>
          <w:rFonts w:eastAsia="Arial Unicode MS"/>
        </w:rPr>
        <w:t>.</w:t>
      </w:r>
    </w:p>
    <w:p w14:paraId="4D974A5A" w14:textId="5F03AD33" w:rsidR="00443B21" w:rsidRPr="005E4531" w:rsidRDefault="008E78DD" w:rsidP="00CF3D6A">
      <w:pPr>
        <w:rPr>
          <w:rFonts w:eastAsia="Arial Unicode MS"/>
        </w:rPr>
      </w:pPr>
      <w:r>
        <w:rPr>
          <w:rFonts w:eastAsia="Arial Unicode MS"/>
        </w:rPr>
        <w:t xml:space="preserve">2. </w:t>
      </w:r>
      <w:r w:rsidR="00443B21" w:rsidRPr="005E4531">
        <w:rPr>
          <w:rFonts w:eastAsia="Arial Unicode MS"/>
        </w:rPr>
        <w:t>Bevorderen van gelijkheid en het tegengaan van discriminatie.</w:t>
      </w:r>
    </w:p>
    <w:p w14:paraId="4D974A5B" w14:textId="7AF5837C" w:rsidR="00443B21" w:rsidRPr="005E4531" w:rsidRDefault="008E78DD" w:rsidP="00CF3D6A">
      <w:pPr>
        <w:rPr>
          <w:rFonts w:eastAsia="Arial Unicode MS"/>
        </w:rPr>
      </w:pPr>
      <w:r>
        <w:rPr>
          <w:rFonts w:eastAsia="Arial Unicode MS"/>
        </w:rPr>
        <w:t xml:space="preserve">3. </w:t>
      </w:r>
      <w:r w:rsidR="00443B21" w:rsidRPr="005E4531">
        <w:rPr>
          <w:rFonts w:eastAsia="Arial Unicode MS"/>
        </w:rPr>
        <w:t xml:space="preserve">Tegengaan van straffeloosheid en het versterken van </w:t>
      </w:r>
      <w:r w:rsidR="00443B21" w:rsidRPr="005E4531">
        <w:rPr>
          <w:rFonts w:eastAsia="Arial Unicode MS"/>
          <w:i/>
        </w:rPr>
        <w:t>accountability</w:t>
      </w:r>
      <w:r w:rsidR="00443B21" w:rsidRPr="005E4531">
        <w:rPr>
          <w:rFonts w:eastAsia="Arial Unicode MS"/>
        </w:rPr>
        <w:t xml:space="preserve"> en de </w:t>
      </w:r>
      <w:r w:rsidR="00443B21" w:rsidRPr="005E4531">
        <w:rPr>
          <w:rFonts w:eastAsia="Arial Unicode MS"/>
          <w:i/>
        </w:rPr>
        <w:t>rule of law.</w:t>
      </w:r>
    </w:p>
    <w:p w14:paraId="4D974A5C" w14:textId="271553B4" w:rsidR="00443B21" w:rsidRPr="005E4531" w:rsidRDefault="008E78DD" w:rsidP="00CF3D6A">
      <w:pPr>
        <w:rPr>
          <w:rFonts w:eastAsia="Arial Unicode MS"/>
        </w:rPr>
      </w:pPr>
      <w:r>
        <w:rPr>
          <w:rFonts w:eastAsia="Arial Unicode MS"/>
        </w:rPr>
        <w:t xml:space="preserve">4. </w:t>
      </w:r>
      <w:r w:rsidR="00443B21" w:rsidRPr="005E4531">
        <w:rPr>
          <w:rFonts w:eastAsia="Arial Unicode MS"/>
        </w:rPr>
        <w:t>Integreren van mensenrechten op het terrein van ontwikkeling en economie.</w:t>
      </w:r>
    </w:p>
    <w:p w14:paraId="4D974A5D" w14:textId="6B0DFAEB" w:rsidR="00443B21" w:rsidRPr="005E4531" w:rsidRDefault="008E78DD" w:rsidP="00CF3D6A">
      <w:pPr>
        <w:rPr>
          <w:rFonts w:eastAsia="Arial Unicode MS"/>
        </w:rPr>
      </w:pPr>
      <w:r>
        <w:rPr>
          <w:rFonts w:eastAsia="Arial Unicode MS"/>
        </w:rPr>
        <w:t xml:space="preserve">5. </w:t>
      </w:r>
      <w:r w:rsidR="00443B21" w:rsidRPr="005E4531">
        <w:rPr>
          <w:rFonts w:eastAsia="Arial Unicode MS"/>
        </w:rPr>
        <w:t>Verbreden van de democratische ruimte.</w:t>
      </w:r>
    </w:p>
    <w:p w14:paraId="4D974A5E" w14:textId="69260B67" w:rsidR="00443B21" w:rsidRPr="005E4531" w:rsidRDefault="008E78DD" w:rsidP="00CF3D6A">
      <w:pPr>
        <w:rPr>
          <w:rFonts w:eastAsia="Arial Unicode MS"/>
        </w:rPr>
      </w:pPr>
      <w:r>
        <w:rPr>
          <w:rFonts w:eastAsia="Arial Unicode MS"/>
          <w:i/>
        </w:rPr>
        <w:t xml:space="preserve">6. </w:t>
      </w:r>
      <w:r w:rsidR="00443B21" w:rsidRPr="005E4531">
        <w:rPr>
          <w:rFonts w:eastAsia="Arial Unicode MS"/>
          <w:i/>
        </w:rPr>
        <w:t>Early warning</w:t>
      </w:r>
      <w:r w:rsidR="00443B21" w:rsidRPr="005E4531">
        <w:rPr>
          <w:rFonts w:eastAsia="Arial Unicode MS"/>
        </w:rPr>
        <w:t xml:space="preserve"> en bescherming van mensenrechten in conflictsituaties en gewelddadige en onveilige situaties. </w:t>
      </w:r>
    </w:p>
    <w:p w14:paraId="4D974A5F" w14:textId="77777777" w:rsidR="00443B21" w:rsidRPr="005E4531" w:rsidRDefault="00443B21" w:rsidP="00CF3D6A"/>
    <w:p w14:paraId="4D974A60" w14:textId="72618C2F" w:rsidR="00443B21" w:rsidRPr="005E4531" w:rsidRDefault="00443B21" w:rsidP="00443B21">
      <w:r w:rsidRPr="005E4531">
        <w:t xml:space="preserve">De prioriteiten zijn leidend voor het programma van de OHCHR. De organisatie hanteert een </w:t>
      </w:r>
      <w:r w:rsidR="00AA0E58" w:rsidRPr="00F44C9C">
        <w:rPr>
          <w:i/>
        </w:rPr>
        <w:t>Theory of Change</w:t>
      </w:r>
      <w:r w:rsidRPr="005E4531">
        <w:t xml:space="preserve"> waarin 11 prestaties zijn gedefinieerd die nodig zijn om</w:t>
      </w:r>
      <w:r w:rsidR="00CF3D6A">
        <w:t xml:space="preserve"> haar lange termijn doel ‘</w:t>
      </w:r>
      <w:r w:rsidR="00CF3D6A">
        <w:rPr>
          <w:i/>
        </w:rPr>
        <w:t xml:space="preserve">all human rights for </w:t>
      </w:r>
      <w:r w:rsidR="00EB1D2E">
        <w:rPr>
          <w:i/>
        </w:rPr>
        <w:t xml:space="preserve">all’ </w:t>
      </w:r>
      <w:r w:rsidR="00EB1D2E">
        <w:t xml:space="preserve">te </w:t>
      </w:r>
      <w:r w:rsidRPr="005E4531">
        <w:t>b</w:t>
      </w:r>
      <w:r w:rsidR="00F44C9C">
        <w:t>ehalen. Deze prestaties zijn onder andere</w:t>
      </w:r>
      <w:r w:rsidRPr="005E4531">
        <w:t xml:space="preserve"> gericht op naleving van wetten, aansprakelijkheid, betrokkenheid van NGO’s en </w:t>
      </w:r>
      <w:r w:rsidRPr="001B06FD">
        <w:rPr>
          <w:i/>
        </w:rPr>
        <w:t>mainstreaming</w:t>
      </w:r>
      <w:r w:rsidRPr="005E4531">
        <w:t xml:space="preserve"> van mensenrechten in de VN. De programmering wordt aan de hand van de beoogde resultaten in 2017 op deze prestaties </w:t>
      </w:r>
      <w:r w:rsidR="001B06FD" w:rsidRPr="005E4531">
        <w:t>medebepaald</w:t>
      </w:r>
      <w:r w:rsidRPr="005E4531">
        <w:t>.</w:t>
      </w:r>
      <w:r w:rsidR="000C7B90">
        <w:t xml:space="preserve"> </w:t>
      </w:r>
    </w:p>
    <w:p w14:paraId="4D974A61" w14:textId="77777777" w:rsidR="002007E8" w:rsidRPr="005E4531" w:rsidRDefault="002007E8" w:rsidP="00443B21">
      <w:pPr>
        <w:rPr>
          <w:b/>
          <w:u w:val="single"/>
        </w:rPr>
      </w:pPr>
    </w:p>
    <w:p w14:paraId="4D974A62" w14:textId="77777777" w:rsidR="00000221" w:rsidRPr="005E4531" w:rsidRDefault="00000221" w:rsidP="00000221">
      <w:r w:rsidRPr="005E4531">
        <w:t xml:space="preserve">De focusgebieden in het </w:t>
      </w:r>
      <w:r w:rsidRPr="001B06FD">
        <w:rPr>
          <w:i/>
        </w:rPr>
        <w:t>Human Rights Appeal</w:t>
      </w:r>
      <w:r w:rsidRPr="005E4531">
        <w:t xml:space="preserve"> 2017 zijn gericht op:</w:t>
      </w:r>
    </w:p>
    <w:p w14:paraId="4D974A63" w14:textId="47F7BCE1" w:rsidR="00000221" w:rsidRPr="005E4531" w:rsidRDefault="00EB6B45" w:rsidP="00000221">
      <w:pPr>
        <w:numPr>
          <w:ilvl w:val="0"/>
          <w:numId w:val="41"/>
        </w:numPr>
        <w:rPr>
          <w:lang w:val="en-US"/>
        </w:rPr>
      </w:pPr>
      <w:r w:rsidRPr="005E4531">
        <w:rPr>
          <w:lang w:val="en-US"/>
        </w:rPr>
        <w:t>V</w:t>
      </w:r>
      <w:r w:rsidR="00000221" w:rsidRPr="005E4531">
        <w:rPr>
          <w:lang w:val="en-US"/>
        </w:rPr>
        <w:t xml:space="preserve">ersterking van </w:t>
      </w:r>
      <w:r w:rsidR="00AA0E58" w:rsidRPr="00F44C9C">
        <w:rPr>
          <w:i/>
          <w:lang w:val="en-US"/>
        </w:rPr>
        <w:t>early waring</w:t>
      </w:r>
      <w:r w:rsidR="00000221" w:rsidRPr="005E4531">
        <w:rPr>
          <w:lang w:val="en-US"/>
        </w:rPr>
        <w:t xml:space="preserve"> and effectieve </w:t>
      </w:r>
      <w:r w:rsidR="00AA0E58" w:rsidRPr="00F44C9C">
        <w:rPr>
          <w:i/>
          <w:lang w:val="en-US"/>
        </w:rPr>
        <w:t>early action</w:t>
      </w:r>
      <w:r w:rsidR="00000221" w:rsidRPr="005E4531">
        <w:rPr>
          <w:lang w:val="en-US"/>
        </w:rPr>
        <w:t>.</w:t>
      </w:r>
    </w:p>
    <w:p w14:paraId="4D974A64" w14:textId="77777777" w:rsidR="00000221" w:rsidRPr="005E4531" w:rsidRDefault="00000221" w:rsidP="00000221">
      <w:pPr>
        <w:numPr>
          <w:ilvl w:val="0"/>
          <w:numId w:val="41"/>
        </w:numPr>
      </w:pPr>
      <w:r w:rsidRPr="005E4531">
        <w:t xml:space="preserve">Beschermen en uitbreiden van ruimte voor </w:t>
      </w:r>
      <w:r w:rsidR="00AA0E58" w:rsidRPr="00F44C9C">
        <w:rPr>
          <w:i/>
        </w:rPr>
        <w:t>civil society</w:t>
      </w:r>
      <w:r w:rsidRPr="005E4531">
        <w:t>.</w:t>
      </w:r>
    </w:p>
    <w:p w14:paraId="4D974A65" w14:textId="32D53AA5" w:rsidR="00000221" w:rsidRPr="005E4531" w:rsidRDefault="00000221" w:rsidP="00000221">
      <w:pPr>
        <w:numPr>
          <w:ilvl w:val="0"/>
          <w:numId w:val="41"/>
        </w:numPr>
      </w:pPr>
      <w:r w:rsidRPr="005E4531">
        <w:t>Vreedzame co-existentie, voorkomen van ha</w:t>
      </w:r>
      <w:r w:rsidR="00F44C9C">
        <w:t>a</w:t>
      </w:r>
      <w:r w:rsidRPr="005E4531">
        <w:t>t</w:t>
      </w:r>
      <w:r w:rsidR="00D6704B">
        <w:t xml:space="preserve"> jegens andere bevolkingsgroepen/minderheden</w:t>
      </w:r>
      <w:r w:rsidRPr="005E4531">
        <w:t xml:space="preserve"> en eroderen van mensenrechten door het voeren van ‘angstpolitiek’.</w:t>
      </w:r>
    </w:p>
    <w:p w14:paraId="4D974A66" w14:textId="7146C804" w:rsidR="00000221" w:rsidRPr="005E4531" w:rsidRDefault="00000221" w:rsidP="00000221">
      <w:pPr>
        <w:numPr>
          <w:ilvl w:val="0"/>
          <w:numId w:val="41"/>
        </w:numPr>
      </w:pPr>
      <w:r w:rsidRPr="005E4531">
        <w:t xml:space="preserve">Beschermen van migranten en tegengaan van </w:t>
      </w:r>
      <w:r w:rsidR="0021433D" w:rsidRPr="005E4531">
        <w:t>xenofobie</w:t>
      </w:r>
      <w:r w:rsidR="0021433D">
        <w:t>.</w:t>
      </w:r>
    </w:p>
    <w:p w14:paraId="4D974A67" w14:textId="77777777" w:rsidR="00000221" w:rsidRPr="005E4531" w:rsidRDefault="00000221" w:rsidP="00000221">
      <w:pPr>
        <w:numPr>
          <w:ilvl w:val="0"/>
          <w:numId w:val="41"/>
        </w:numPr>
      </w:pPr>
      <w:r w:rsidRPr="005E4531">
        <w:t>Bevorderen van de 2030 Agenda.</w:t>
      </w:r>
    </w:p>
    <w:p w14:paraId="4D974A68" w14:textId="77777777" w:rsidR="00000221" w:rsidRPr="005E4531" w:rsidRDefault="00000221" w:rsidP="00443B21">
      <w:pPr>
        <w:rPr>
          <w:b/>
          <w:u w:val="single"/>
        </w:rPr>
      </w:pPr>
      <w:r w:rsidRPr="005E4531">
        <w:rPr>
          <w:b/>
          <w:u w:val="single"/>
        </w:rPr>
        <w:t xml:space="preserve"> </w:t>
      </w:r>
    </w:p>
    <w:p w14:paraId="4D974A69" w14:textId="32F54DDB" w:rsidR="00443B21" w:rsidRPr="005E4531" w:rsidRDefault="007219E5" w:rsidP="00443B21">
      <w:r>
        <w:t>Er is bij OHCHR, zeker gezien de beperkte beschikbare middelen, geen sprake van oneigenlijke uitbreiding van bevoegdheden. De</w:t>
      </w:r>
      <w:r w:rsidR="00000221" w:rsidRPr="005E4531">
        <w:t xml:space="preserve"> focusgebieden in het programma sluiten aan bij bovengenoemd SMP, maar ook op de doelstellingen van de 2030 Agenda en recente uitdagingen, bijvoorbeeld op het gebied van migratie. </w:t>
      </w:r>
    </w:p>
    <w:p w14:paraId="4D974A6A" w14:textId="77777777" w:rsidR="00EB6B45" w:rsidRPr="005E4531" w:rsidRDefault="00EB6B45" w:rsidP="00443B21"/>
    <w:p w14:paraId="135710D8" w14:textId="0CB8BFD7" w:rsidR="00420848" w:rsidRDefault="00EB6B45" w:rsidP="00420848">
      <w:r w:rsidRPr="005E4531">
        <w:t>Tot slot is OHCHR ook een belangrijke actor voor allerlei mensenrechtenactivisten, NGO’s, overheden. OHCHR ziet zichzelf duidelijk als organisatie die de gehele wereldwijde mensenrechtengemeenschap met elkaar kan verbinden. Juist door</w:t>
      </w:r>
      <w:r w:rsidR="00925D73">
        <w:t xml:space="preserve"> de</w:t>
      </w:r>
      <w:r w:rsidRPr="005E4531">
        <w:t xml:space="preserve"> impact die OHCHR persberichten en activiteiten hebben slaagt de organisatie hierin. </w:t>
      </w:r>
    </w:p>
    <w:p w14:paraId="4758960B" w14:textId="77777777" w:rsidR="00EB1D2E" w:rsidRDefault="00EB1D2E" w:rsidP="00420848"/>
    <w:p w14:paraId="6C7FA1F0" w14:textId="77777777" w:rsidR="00EB1D2E" w:rsidRDefault="00EB1D2E">
      <w:pPr>
        <w:spacing w:line="240" w:lineRule="auto"/>
      </w:pPr>
      <w:r>
        <w:br w:type="page"/>
      </w:r>
    </w:p>
    <w:p w14:paraId="5EFAF9D5" w14:textId="2C8103E8" w:rsidR="00420848" w:rsidRDefault="00420848" w:rsidP="004208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8"/>
        <w:gridCol w:w="949"/>
      </w:tblGrid>
      <w:tr w:rsidR="00420848" w14:paraId="0F15AE1D" w14:textId="77777777" w:rsidTr="0000250C">
        <w:tc>
          <w:tcPr>
            <w:tcW w:w="6912" w:type="dxa"/>
            <w:tcBorders>
              <w:top w:val="single" w:sz="12" w:space="0" w:color="auto"/>
              <w:left w:val="single" w:sz="12" w:space="0" w:color="auto"/>
              <w:bottom w:val="single" w:sz="12" w:space="0" w:color="auto"/>
            </w:tcBorders>
            <w:shd w:val="clear" w:color="auto" w:fill="D9D9D9"/>
          </w:tcPr>
          <w:p w14:paraId="0E2DF4FB" w14:textId="77777777" w:rsidR="00420848" w:rsidRPr="00EA0AA8" w:rsidRDefault="00420848" w:rsidP="0000250C">
            <w:pPr>
              <w:rPr>
                <w:b/>
              </w:rPr>
            </w:pPr>
            <w:r w:rsidRPr="00EA0AA8">
              <w:rPr>
                <w:b/>
              </w:rPr>
              <w:t>Onderdeel</w:t>
            </w:r>
          </w:p>
        </w:tc>
        <w:tc>
          <w:tcPr>
            <w:tcW w:w="955" w:type="dxa"/>
            <w:tcBorders>
              <w:top w:val="single" w:sz="12" w:space="0" w:color="auto"/>
              <w:bottom w:val="single" w:sz="12" w:space="0" w:color="auto"/>
              <w:right w:val="single" w:sz="12" w:space="0" w:color="auto"/>
            </w:tcBorders>
            <w:shd w:val="clear" w:color="auto" w:fill="D9D9D9"/>
          </w:tcPr>
          <w:p w14:paraId="141BF1BD" w14:textId="77777777" w:rsidR="00420848" w:rsidRPr="00EA0AA8" w:rsidRDefault="00420848" w:rsidP="0000250C">
            <w:pPr>
              <w:rPr>
                <w:b/>
              </w:rPr>
            </w:pPr>
            <w:r w:rsidRPr="00EA0AA8">
              <w:rPr>
                <w:b/>
              </w:rPr>
              <w:t>Score</w:t>
            </w:r>
          </w:p>
        </w:tc>
      </w:tr>
      <w:tr w:rsidR="00420848" w14:paraId="09B63C49" w14:textId="77777777" w:rsidTr="0000250C">
        <w:tc>
          <w:tcPr>
            <w:tcW w:w="6912" w:type="dxa"/>
            <w:tcBorders>
              <w:top w:val="single" w:sz="12" w:space="0" w:color="auto"/>
              <w:left w:val="single" w:sz="12" w:space="0" w:color="auto"/>
            </w:tcBorders>
            <w:shd w:val="clear" w:color="auto" w:fill="auto"/>
          </w:tcPr>
          <w:p w14:paraId="4DC548D4" w14:textId="28E7D44C" w:rsidR="00420848" w:rsidRDefault="00420848" w:rsidP="00942AE9">
            <w:r>
              <w:t>Kernmandaat / Prioriteiten / Mission Creep</w:t>
            </w:r>
          </w:p>
        </w:tc>
        <w:tc>
          <w:tcPr>
            <w:tcW w:w="955" w:type="dxa"/>
            <w:tcBorders>
              <w:top w:val="single" w:sz="12" w:space="0" w:color="auto"/>
              <w:right w:val="single" w:sz="12" w:space="0" w:color="auto"/>
            </w:tcBorders>
            <w:shd w:val="clear" w:color="auto" w:fill="auto"/>
          </w:tcPr>
          <w:p w14:paraId="2487D2FF" w14:textId="77777777" w:rsidR="00420848" w:rsidRDefault="00420848" w:rsidP="0000250C">
            <w:r>
              <w:t>3</w:t>
            </w:r>
          </w:p>
        </w:tc>
      </w:tr>
      <w:tr w:rsidR="00420848" w14:paraId="16D80E45" w14:textId="77777777" w:rsidTr="0000250C">
        <w:tc>
          <w:tcPr>
            <w:tcW w:w="6912" w:type="dxa"/>
            <w:tcBorders>
              <w:left w:val="single" w:sz="12" w:space="0" w:color="auto"/>
            </w:tcBorders>
            <w:shd w:val="clear" w:color="auto" w:fill="auto"/>
          </w:tcPr>
          <w:p w14:paraId="2F33601D" w14:textId="77777777" w:rsidR="00420848" w:rsidRDefault="00420848" w:rsidP="0000250C">
            <w:r>
              <w:t>Beleidsstrategie</w:t>
            </w:r>
          </w:p>
        </w:tc>
        <w:tc>
          <w:tcPr>
            <w:tcW w:w="955" w:type="dxa"/>
            <w:tcBorders>
              <w:right w:val="single" w:sz="12" w:space="0" w:color="auto"/>
            </w:tcBorders>
            <w:shd w:val="clear" w:color="auto" w:fill="auto"/>
          </w:tcPr>
          <w:p w14:paraId="60FAF6B9" w14:textId="055D0BEA" w:rsidR="00420848" w:rsidRDefault="004E2ED6" w:rsidP="0000250C">
            <w:r>
              <w:t>3</w:t>
            </w:r>
          </w:p>
        </w:tc>
      </w:tr>
      <w:tr w:rsidR="00420848" w14:paraId="3FDC7FFD" w14:textId="77777777" w:rsidTr="0000250C">
        <w:tc>
          <w:tcPr>
            <w:tcW w:w="6912" w:type="dxa"/>
            <w:tcBorders>
              <w:left w:val="single" w:sz="12" w:space="0" w:color="auto"/>
              <w:bottom w:val="single" w:sz="4" w:space="0" w:color="auto"/>
            </w:tcBorders>
            <w:shd w:val="clear" w:color="auto" w:fill="auto"/>
          </w:tcPr>
          <w:p w14:paraId="79A83897" w14:textId="77777777" w:rsidR="00420848" w:rsidRPr="00B142FC" w:rsidRDefault="00420848" w:rsidP="0000250C">
            <w:r w:rsidRPr="00B142FC">
              <w:t>Theory of Change</w:t>
            </w:r>
          </w:p>
        </w:tc>
        <w:tc>
          <w:tcPr>
            <w:tcW w:w="955" w:type="dxa"/>
            <w:tcBorders>
              <w:right w:val="single" w:sz="12" w:space="0" w:color="auto"/>
            </w:tcBorders>
            <w:shd w:val="clear" w:color="auto" w:fill="auto"/>
          </w:tcPr>
          <w:p w14:paraId="458FFCA8" w14:textId="77777777" w:rsidR="00420848" w:rsidRDefault="00420848" w:rsidP="0000250C">
            <w:r>
              <w:t>3</w:t>
            </w:r>
          </w:p>
        </w:tc>
      </w:tr>
      <w:tr w:rsidR="00420848" w14:paraId="2AE85EDC" w14:textId="77777777" w:rsidTr="0000250C">
        <w:tc>
          <w:tcPr>
            <w:tcW w:w="6912" w:type="dxa"/>
            <w:tcBorders>
              <w:top w:val="single" w:sz="4" w:space="0" w:color="auto"/>
              <w:left w:val="single" w:sz="12" w:space="0" w:color="auto"/>
              <w:bottom w:val="single" w:sz="4" w:space="0" w:color="auto"/>
            </w:tcBorders>
            <w:shd w:val="clear" w:color="auto" w:fill="auto"/>
          </w:tcPr>
          <w:p w14:paraId="0926E747" w14:textId="153618E1" w:rsidR="00420848" w:rsidRDefault="00420848" w:rsidP="00942AE9">
            <w:r>
              <w:t>Aansluiting Nationaal beleid / Armoedestrategie</w:t>
            </w:r>
          </w:p>
        </w:tc>
        <w:tc>
          <w:tcPr>
            <w:tcW w:w="955" w:type="dxa"/>
            <w:tcBorders>
              <w:bottom w:val="single" w:sz="4" w:space="0" w:color="auto"/>
              <w:right w:val="single" w:sz="12" w:space="0" w:color="auto"/>
            </w:tcBorders>
            <w:shd w:val="clear" w:color="auto" w:fill="auto"/>
          </w:tcPr>
          <w:p w14:paraId="34834485" w14:textId="1D270005" w:rsidR="00420848" w:rsidRDefault="001B06FD" w:rsidP="0000250C">
            <w:r>
              <w:t>n.v.t.</w:t>
            </w:r>
          </w:p>
        </w:tc>
      </w:tr>
      <w:tr w:rsidR="00420848" w14:paraId="79206919" w14:textId="77777777" w:rsidTr="0000250C">
        <w:tc>
          <w:tcPr>
            <w:tcW w:w="6912" w:type="dxa"/>
            <w:tcBorders>
              <w:top w:val="single" w:sz="4" w:space="0" w:color="auto"/>
              <w:left w:val="single" w:sz="12" w:space="0" w:color="auto"/>
              <w:bottom w:val="single" w:sz="4" w:space="0" w:color="auto"/>
            </w:tcBorders>
            <w:shd w:val="clear" w:color="auto" w:fill="auto"/>
          </w:tcPr>
          <w:p w14:paraId="2F8BEEC5" w14:textId="77777777" w:rsidR="00420848" w:rsidRDefault="00420848" w:rsidP="0000250C">
            <w:r>
              <w:t xml:space="preserve">Verantwoording </w:t>
            </w:r>
          </w:p>
        </w:tc>
        <w:tc>
          <w:tcPr>
            <w:tcW w:w="955" w:type="dxa"/>
            <w:tcBorders>
              <w:bottom w:val="single" w:sz="4" w:space="0" w:color="auto"/>
              <w:right w:val="single" w:sz="12" w:space="0" w:color="auto"/>
            </w:tcBorders>
            <w:shd w:val="clear" w:color="auto" w:fill="auto"/>
          </w:tcPr>
          <w:p w14:paraId="2653D508" w14:textId="77777777" w:rsidR="00420848" w:rsidRDefault="00420848" w:rsidP="0000250C">
            <w:r>
              <w:t>3</w:t>
            </w:r>
          </w:p>
        </w:tc>
      </w:tr>
      <w:tr w:rsidR="00420848" w14:paraId="257E2BD6" w14:textId="77777777" w:rsidTr="0000250C">
        <w:tc>
          <w:tcPr>
            <w:tcW w:w="6912" w:type="dxa"/>
            <w:tcBorders>
              <w:top w:val="single" w:sz="4" w:space="0" w:color="auto"/>
              <w:left w:val="single" w:sz="12" w:space="0" w:color="auto"/>
              <w:bottom w:val="single" w:sz="12" w:space="0" w:color="auto"/>
            </w:tcBorders>
            <w:shd w:val="clear" w:color="auto" w:fill="auto"/>
          </w:tcPr>
          <w:p w14:paraId="6B6CD213" w14:textId="77777777" w:rsidR="00420848" w:rsidRDefault="00420848" w:rsidP="0000250C">
            <w:r>
              <w:t>Aanspreekbaarheid voor overige belanghebbenden</w:t>
            </w:r>
          </w:p>
        </w:tc>
        <w:tc>
          <w:tcPr>
            <w:tcW w:w="955" w:type="dxa"/>
            <w:tcBorders>
              <w:bottom w:val="single" w:sz="12" w:space="0" w:color="auto"/>
              <w:right w:val="single" w:sz="12" w:space="0" w:color="auto"/>
            </w:tcBorders>
            <w:shd w:val="clear" w:color="auto" w:fill="auto"/>
          </w:tcPr>
          <w:p w14:paraId="48C4159E" w14:textId="77777777" w:rsidR="00420848" w:rsidRDefault="00420848" w:rsidP="0000250C">
            <w:r>
              <w:t>4</w:t>
            </w:r>
          </w:p>
        </w:tc>
      </w:tr>
      <w:tr w:rsidR="00420848" w14:paraId="45A9B699" w14:textId="77777777" w:rsidTr="0000250C">
        <w:tc>
          <w:tcPr>
            <w:tcW w:w="6912" w:type="dxa"/>
            <w:tcBorders>
              <w:top w:val="single" w:sz="12" w:space="0" w:color="auto"/>
              <w:left w:val="single" w:sz="12" w:space="0" w:color="auto"/>
              <w:bottom w:val="single" w:sz="12" w:space="0" w:color="auto"/>
            </w:tcBorders>
            <w:shd w:val="clear" w:color="auto" w:fill="D0CECE"/>
          </w:tcPr>
          <w:p w14:paraId="7464779F" w14:textId="77777777" w:rsidR="00420848" w:rsidRPr="00EA0AA8" w:rsidRDefault="00420848" w:rsidP="0000250C">
            <w:pPr>
              <w:rPr>
                <w:b/>
              </w:rPr>
            </w:pPr>
            <w:r w:rsidRPr="00F313B0">
              <w:rPr>
                <w:b/>
              </w:rPr>
              <w:t>TOTAAL</w:t>
            </w:r>
          </w:p>
        </w:tc>
        <w:tc>
          <w:tcPr>
            <w:tcW w:w="955" w:type="dxa"/>
            <w:tcBorders>
              <w:top w:val="single" w:sz="12" w:space="0" w:color="auto"/>
              <w:bottom w:val="single" w:sz="12" w:space="0" w:color="auto"/>
              <w:right w:val="single" w:sz="12" w:space="0" w:color="auto"/>
            </w:tcBorders>
            <w:shd w:val="clear" w:color="auto" w:fill="D0CECE"/>
          </w:tcPr>
          <w:p w14:paraId="4D4E0885" w14:textId="77777777" w:rsidR="00420848" w:rsidRPr="00EA0AA8" w:rsidRDefault="00420848" w:rsidP="0000250C">
            <w:pPr>
              <w:rPr>
                <w:b/>
              </w:rPr>
            </w:pPr>
            <w:r>
              <w:rPr>
                <w:b/>
              </w:rPr>
              <w:t xml:space="preserve">3 </w:t>
            </w:r>
          </w:p>
        </w:tc>
      </w:tr>
    </w:tbl>
    <w:p w14:paraId="6E2D11D0" w14:textId="77777777" w:rsidR="00EB1D2E" w:rsidRDefault="00F44C9C" w:rsidP="00F44C9C">
      <w:r w:rsidRPr="00F44C9C">
        <w:t xml:space="preserve"> </w:t>
      </w:r>
    </w:p>
    <w:p w14:paraId="783C607D" w14:textId="4ABA7526" w:rsidR="00F44C9C" w:rsidRDefault="00F44C9C" w:rsidP="00EB1D2E">
      <w:pPr>
        <w:ind w:firstLine="227"/>
      </w:pPr>
      <w:r w:rsidRPr="00193994">
        <w:t>Verandering</w:t>
      </w:r>
      <w:r>
        <w:t xml:space="preserve"> sinds 2015: neutraal</w:t>
      </w:r>
      <w:r w:rsidRPr="00193994">
        <w:t xml:space="preserve"> = </w:t>
      </w:r>
      <w:r w:rsidRPr="00193994">
        <w:sym w:font="Wingdings" w:char="F0E8"/>
      </w:r>
    </w:p>
    <w:p w14:paraId="4D974A6F" w14:textId="77777777" w:rsidR="00443B21" w:rsidRPr="005E4531" w:rsidRDefault="00443B21" w:rsidP="00CD7B6F"/>
    <w:p w14:paraId="4D974A70" w14:textId="6BB16DBC" w:rsidR="00E62286" w:rsidRPr="005E4531" w:rsidRDefault="000C7B90" w:rsidP="005519BB">
      <w:pPr>
        <w:pStyle w:val="Heading2"/>
        <w:numPr>
          <w:ilvl w:val="1"/>
          <w:numId w:val="20"/>
        </w:numPr>
        <w:tabs>
          <w:tab w:val="left" w:pos="-1162"/>
          <w:tab w:val="left" w:pos="0"/>
        </w:tabs>
        <w:spacing w:line="240" w:lineRule="auto"/>
        <w:ind w:left="-805" w:hanging="357"/>
      </w:pPr>
      <w:r>
        <w:t xml:space="preserve">      </w:t>
      </w:r>
      <w:r w:rsidR="002007E8" w:rsidRPr="005E4531">
        <w:t xml:space="preserve"> </w:t>
      </w:r>
      <w:r w:rsidR="001B06FD">
        <w:tab/>
      </w:r>
      <w:bookmarkStart w:id="33" w:name="_Toc491259070"/>
      <w:r w:rsidR="00032C0E" w:rsidRPr="005E4531">
        <w:t>Resultaatgerich</w:t>
      </w:r>
      <w:r w:rsidR="00032C0E" w:rsidRPr="005E4531">
        <w:rPr>
          <w:lang w:val="en-US"/>
        </w:rPr>
        <w:t>theid en transparantie</w:t>
      </w:r>
      <w:bookmarkEnd w:id="33"/>
      <w:r w:rsidR="0072120E" w:rsidRPr="005E4531">
        <w:t xml:space="preserve"> </w:t>
      </w:r>
    </w:p>
    <w:p w14:paraId="4D974A8B" w14:textId="5BFB23BE" w:rsidR="00864874" w:rsidRPr="00942AE9" w:rsidRDefault="00443B21" w:rsidP="000C7B90">
      <w:pPr>
        <w:ind w:right="-211"/>
        <w:rPr>
          <w:szCs w:val="18"/>
        </w:rPr>
      </w:pPr>
      <w:r w:rsidRPr="005E4531">
        <w:rPr>
          <w:szCs w:val="18"/>
        </w:rPr>
        <w:t xml:space="preserve">OHCHR heeft sinds 2010 een </w:t>
      </w:r>
      <w:r w:rsidRPr="005E4531">
        <w:rPr>
          <w:i/>
          <w:szCs w:val="18"/>
        </w:rPr>
        <w:t xml:space="preserve">Performance Monitoring System (PMS) </w:t>
      </w:r>
      <w:r w:rsidRPr="005E4531">
        <w:rPr>
          <w:szCs w:val="18"/>
        </w:rPr>
        <w:t xml:space="preserve">ontwikkeld. Dit heeft bijgedragen aan een beleid dat is gericht op </w:t>
      </w:r>
      <w:r w:rsidR="00BD6ED7" w:rsidRPr="001B06FD">
        <w:rPr>
          <w:i/>
          <w:szCs w:val="18"/>
        </w:rPr>
        <w:t>R</w:t>
      </w:r>
      <w:r w:rsidRPr="001B06FD">
        <w:rPr>
          <w:i/>
          <w:szCs w:val="18"/>
        </w:rPr>
        <w:t>esult</w:t>
      </w:r>
      <w:r w:rsidR="001B06FD">
        <w:rPr>
          <w:i/>
          <w:szCs w:val="18"/>
        </w:rPr>
        <w:t>s</w:t>
      </w:r>
      <w:r w:rsidR="001B06FD" w:rsidRPr="001B06FD">
        <w:rPr>
          <w:i/>
          <w:szCs w:val="18"/>
        </w:rPr>
        <w:t xml:space="preserve"> </w:t>
      </w:r>
      <w:r w:rsidR="00BD6ED7" w:rsidRPr="001B06FD">
        <w:rPr>
          <w:i/>
          <w:szCs w:val="18"/>
        </w:rPr>
        <w:t>B</w:t>
      </w:r>
      <w:r w:rsidRPr="001B06FD">
        <w:rPr>
          <w:i/>
          <w:szCs w:val="18"/>
        </w:rPr>
        <w:t xml:space="preserve">ased </w:t>
      </w:r>
      <w:r w:rsidR="00BD6ED7" w:rsidRPr="001B06FD">
        <w:rPr>
          <w:i/>
          <w:szCs w:val="18"/>
        </w:rPr>
        <w:t>M</w:t>
      </w:r>
      <w:r w:rsidRPr="001B06FD">
        <w:rPr>
          <w:i/>
          <w:szCs w:val="18"/>
        </w:rPr>
        <w:t>anagement</w:t>
      </w:r>
      <w:r w:rsidR="00BD6ED7">
        <w:rPr>
          <w:szCs w:val="18"/>
        </w:rPr>
        <w:t xml:space="preserve"> (RBM)</w:t>
      </w:r>
      <w:r w:rsidRPr="005E4531">
        <w:rPr>
          <w:szCs w:val="18"/>
        </w:rPr>
        <w:t xml:space="preserve">. </w:t>
      </w:r>
      <w:r w:rsidR="00864874" w:rsidRPr="005E4531">
        <w:rPr>
          <w:szCs w:val="18"/>
        </w:rPr>
        <w:t>PMS wordt nu door de hele organisatie en de kantoren in de regio’s gebruikt bij het ontwikkelen herzien van pro</w:t>
      </w:r>
      <w:r w:rsidR="00EB6B45" w:rsidRPr="005E4531">
        <w:rPr>
          <w:szCs w:val="18"/>
        </w:rPr>
        <w:t>g</w:t>
      </w:r>
      <w:r w:rsidR="00864874" w:rsidRPr="005E4531">
        <w:rPr>
          <w:szCs w:val="18"/>
        </w:rPr>
        <w:t>ramma’s, het monitoren van voortgang en het rapporteren van resultaten</w:t>
      </w:r>
      <w:r w:rsidR="00CD78DD">
        <w:rPr>
          <w:szCs w:val="18"/>
        </w:rPr>
        <w:t>.</w:t>
      </w:r>
      <w:r w:rsidR="00864874" w:rsidRPr="005E4531">
        <w:rPr>
          <w:szCs w:val="18"/>
        </w:rPr>
        <w:t xml:space="preserve"> </w:t>
      </w:r>
      <w:r w:rsidR="006567A6">
        <w:rPr>
          <w:szCs w:val="18"/>
        </w:rPr>
        <w:t>OHCHR heeft</w:t>
      </w:r>
      <w:r w:rsidR="00F67930">
        <w:rPr>
          <w:szCs w:val="18"/>
        </w:rPr>
        <w:t xml:space="preserve"> </w:t>
      </w:r>
      <w:r w:rsidR="006567A6">
        <w:rPr>
          <w:szCs w:val="18"/>
        </w:rPr>
        <w:t xml:space="preserve">positieve stappen gezet om behaalde resultaten beter te communiceren. In de 2016 rapportage </w:t>
      </w:r>
      <w:r w:rsidR="000554A7">
        <w:rPr>
          <w:szCs w:val="18"/>
        </w:rPr>
        <w:t xml:space="preserve">zien we dit </w:t>
      </w:r>
      <w:r w:rsidR="00F67930">
        <w:rPr>
          <w:szCs w:val="18"/>
        </w:rPr>
        <w:t>t</w:t>
      </w:r>
      <w:r w:rsidR="000554A7">
        <w:rPr>
          <w:szCs w:val="18"/>
        </w:rPr>
        <w:t xml:space="preserve">erug </w:t>
      </w:r>
      <w:r w:rsidR="00F67930">
        <w:rPr>
          <w:szCs w:val="18"/>
        </w:rPr>
        <w:t>in</w:t>
      </w:r>
      <w:r w:rsidR="000554A7">
        <w:rPr>
          <w:szCs w:val="18"/>
        </w:rPr>
        <w:t xml:space="preserve"> een hoofdstuk over ‘behaalde resultaten’. OHCHR </w:t>
      </w:r>
      <w:r w:rsidR="00F67930">
        <w:rPr>
          <w:szCs w:val="18"/>
        </w:rPr>
        <w:t>is</w:t>
      </w:r>
      <w:r w:rsidR="000554A7">
        <w:rPr>
          <w:szCs w:val="18"/>
        </w:rPr>
        <w:t xml:space="preserve"> afgelopen jaren ook via </w:t>
      </w:r>
      <w:r w:rsidR="000554A7" w:rsidRPr="001B06FD">
        <w:rPr>
          <w:i/>
          <w:szCs w:val="18"/>
        </w:rPr>
        <w:t>social media</w:t>
      </w:r>
      <w:r w:rsidR="000554A7">
        <w:rPr>
          <w:szCs w:val="18"/>
        </w:rPr>
        <w:t xml:space="preserve"> gaan communiceren over resultaten, o.a. door middel van </w:t>
      </w:r>
      <w:r w:rsidR="000554A7" w:rsidRPr="001B06FD">
        <w:rPr>
          <w:i/>
          <w:szCs w:val="18"/>
        </w:rPr>
        <w:t>infografics</w:t>
      </w:r>
      <w:r w:rsidR="000554A7">
        <w:rPr>
          <w:szCs w:val="18"/>
        </w:rPr>
        <w:t xml:space="preserve">. </w:t>
      </w:r>
      <w:r w:rsidR="00F67930">
        <w:rPr>
          <w:szCs w:val="18"/>
        </w:rPr>
        <w:t>OHCHR werkt aan</w:t>
      </w:r>
      <w:r w:rsidR="000554A7">
        <w:rPr>
          <w:szCs w:val="18"/>
        </w:rPr>
        <w:t xml:space="preserve"> een grote communicatiecampagne </w:t>
      </w:r>
      <w:r w:rsidR="00F67930">
        <w:rPr>
          <w:szCs w:val="18"/>
        </w:rPr>
        <w:t>die de</w:t>
      </w:r>
      <w:r w:rsidR="000554A7">
        <w:rPr>
          <w:szCs w:val="18"/>
        </w:rPr>
        <w:t xml:space="preserve"> 70 jaar Universele Verklaring voor de Rechten van de Mens </w:t>
      </w:r>
      <w:r w:rsidR="00F67930">
        <w:rPr>
          <w:szCs w:val="18"/>
        </w:rPr>
        <w:t xml:space="preserve">zal </w:t>
      </w:r>
      <w:r w:rsidR="000554A7">
        <w:rPr>
          <w:szCs w:val="18"/>
        </w:rPr>
        <w:t>markeren</w:t>
      </w:r>
      <w:r w:rsidR="00F67930">
        <w:rPr>
          <w:szCs w:val="18"/>
        </w:rPr>
        <w:t>. D</w:t>
      </w:r>
      <w:r w:rsidR="000554A7">
        <w:rPr>
          <w:szCs w:val="18"/>
        </w:rPr>
        <w:t xml:space="preserve">eze </w:t>
      </w:r>
      <w:r w:rsidR="002F54A1">
        <w:rPr>
          <w:szCs w:val="18"/>
        </w:rPr>
        <w:t xml:space="preserve">OHCHR </w:t>
      </w:r>
      <w:r w:rsidR="000554A7">
        <w:rPr>
          <w:szCs w:val="18"/>
        </w:rPr>
        <w:t xml:space="preserve">campagne start op 10 december 2017 en zal een jaar duren. </w:t>
      </w:r>
    </w:p>
    <w:p w14:paraId="72ACC788" w14:textId="77777777" w:rsidR="00B142FC" w:rsidRDefault="00B142FC" w:rsidP="000C7B90">
      <w:pPr>
        <w:ind w:right="-211"/>
      </w:pPr>
    </w:p>
    <w:p w14:paraId="4D974A8C" w14:textId="768BF7C2" w:rsidR="00443B21" w:rsidRPr="005E4531" w:rsidRDefault="00443B21" w:rsidP="000C7B90">
      <w:pPr>
        <w:ind w:right="-211"/>
      </w:pPr>
      <w:r w:rsidRPr="005E4531">
        <w:t xml:space="preserve">Op basis van een </w:t>
      </w:r>
      <w:r w:rsidRPr="005E4531">
        <w:rPr>
          <w:i/>
        </w:rPr>
        <w:t>Functional Review</w:t>
      </w:r>
      <w:r w:rsidRPr="005E4531">
        <w:t xml:space="preserve"> in februari 2015 is de Hoge Commissaris een reorganisatieproces gestart. Dit heeft o.a. geleid tot herstructurering van het hoofdkantoor in </w:t>
      </w:r>
      <w:r w:rsidR="00EB6B45" w:rsidRPr="005E4531">
        <w:t>Genève</w:t>
      </w:r>
      <w:r w:rsidRPr="005E4531">
        <w:t xml:space="preserve"> en versterking van de aanwezigheid van OHCHR op regionaal niveau en in New York.</w:t>
      </w:r>
      <w:r w:rsidR="00864874" w:rsidRPr="005E4531">
        <w:t xml:space="preserve"> Na een evaluatie in 2016 is de managementstructuur verder gestroomlijnd. In 2017 zal de organisatie en de veldkantoren nog meer worden betrokken bij het uitvoeren van managementbeslissingen</w:t>
      </w:r>
      <w:r w:rsidR="00CD78DD">
        <w:t>.</w:t>
      </w:r>
    </w:p>
    <w:p w14:paraId="4D974A8D" w14:textId="77777777" w:rsidR="00443B21" w:rsidRPr="005E4531" w:rsidRDefault="00443B21" w:rsidP="00443B21">
      <w:pPr>
        <w:rPr>
          <w:szCs w:val="18"/>
        </w:rPr>
      </w:pPr>
    </w:p>
    <w:p w14:paraId="4D974A8E" w14:textId="66F40341" w:rsidR="00443B21" w:rsidRPr="005E4531" w:rsidRDefault="00443B21" w:rsidP="000C7B90">
      <w:pPr>
        <w:ind w:right="-211"/>
      </w:pPr>
      <w:r w:rsidRPr="005E4531">
        <w:t xml:space="preserve">OHCHR baseert managementbeslissingen en planning op </w:t>
      </w:r>
      <w:r w:rsidRPr="005E4531">
        <w:rPr>
          <w:i/>
        </w:rPr>
        <w:t>Global Management Outputs</w:t>
      </w:r>
      <w:r w:rsidRPr="005E4531">
        <w:t>. Voor 2014-2017 zijn er acht resultaten waarop wordt gestuurd, waaronder tijdige implementatie van strategische beslissingen, integratie van ‘gender perspectief’ in beleid, het beter toesnijden van competenties van de staf op het OHCHR-programma en een betere bewustwording van het OHCHR-programma bij lidstaten</w:t>
      </w:r>
      <w:r w:rsidR="00CD78DD">
        <w:t>.</w:t>
      </w:r>
      <w:r w:rsidRPr="005E4531">
        <w:t xml:space="preserve"> Met het opzetten van deze instrumenten heeft OHCHR een goede uitgangspositie om, zowel op het gebied van management als in de programmering, op resultaten te sturen. </w:t>
      </w:r>
    </w:p>
    <w:p w14:paraId="4D974A8F" w14:textId="77777777" w:rsidR="00864874" w:rsidRPr="005E4531" w:rsidRDefault="00864874" w:rsidP="00443B21"/>
    <w:p w14:paraId="4D974A90" w14:textId="5A02DAE8" w:rsidR="00864874" w:rsidRPr="005E4531" w:rsidRDefault="00E602A0" w:rsidP="00443B21">
      <w:r w:rsidRPr="005E4531">
        <w:rPr>
          <w:szCs w:val="18"/>
        </w:rPr>
        <w:t xml:space="preserve">Eind 2016 adviseerde de Secretaris-Generaal de Algemene Vergadering van de VN over een </w:t>
      </w:r>
      <w:r w:rsidR="001B06FD" w:rsidRPr="005E4531">
        <w:rPr>
          <w:szCs w:val="18"/>
        </w:rPr>
        <w:t>budget neutrale</w:t>
      </w:r>
      <w:r w:rsidRPr="005E4531">
        <w:rPr>
          <w:szCs w:val="18"/>
        </w:rPr>
        <w:t xml:space="preserve"> reorganisatie van het </w:t>
      </w:r>
      <w:r w:rsidR="00AA0E58" w:rsidRPr="00F44C9C">
        <w:rPr>
          <w:i/>
          <w:szCs w:val="18"/>
        </w:rPr>
        <w:t>Change Initiative</w:t>
      </w:r>
      <w:r w:rsidRPr="005E4531">
        <w:rPr>
          <w:szCs w:val="18"/>
        </w:rPr>
        <w:t xml:space="preserve"> van HC Zeid.</w:t>
      </w:r>
      <w:r w:rsidRPr="005E4531">
        <w:t xml:space="preserve"> </w:t>
      </w:r>
      <w:r w:rsidR="00864874" w:rsidRPr="005E4531">
        <w:t xml:space="preserve">De veranderingen zijn gericht op </w:t>
      </w:r>
    </w:p>
    <w:p w14:paraId="4D974A91" w14:textId="77777777" w:rsidR="00864874" w:rsidRPr="005E4531" w:rsidRDefault="00864874" w:rsidP="00864874">
      <w:pPr>
        <w:numPr>
          <w:ilvl w:val="1"/>
          <w:numId w:val="9"/>
        </w:numPr>
      </w:pPr>
      <w:r w:rsidRPr="005E4531">
        <w:t xml:space="preserve">betere </w:t>
      </w:r>
      <w:r w:rsidR="007041D0" w:rsidRPr="005E4531">
        <w:t>coördinatie</w:t>
      </w:r>
      <w:r w:rsidRPr="005E4531">
        <w:t xml:space="preserve"> binnen het hoofdkantoor en tussen hoofdkantoor en het veld</w:t>
      </w:r>
      <w:r w:rsidR="00785BEA" w:rsidRPr="005E4531">
        <w:t>;</w:t>
      </w:r>
    </w:p>
    <w:p w14:paraId="4D974A92" w14:textId="77777777" w:rsidR="00864874" w:rsidRPr="005E4531" w:rsidRDefault="008072C6" w:rsidP="00864874">
      <w:pPr>
        <w:numPr>
          <w:ilvl w:val="1"/>
          <w:numId w:val="9"/>
        </w:numPr>
      </w:pPr>
      <w:r w:rsidRPr="005E4531">
        <w:t>strategische partnerschappen met de belangrijkste stakeholders, w.o. landen en het VN-systeem</w:t>
      </w:r>
      <w:r w:rsidR="00785BEA" w:rsidRPr="005E4531">
        <w:t>;</w:t>
      </w:r>
    </w:p>
    <w:p w14:paraId="4D974A93" w14:textId="77777777" w:rsidR="008072C6" w:rsidRPr="005E4531" w:rsidRDefault="00785BEA" w:rsidP="00864874">
      <w:pPr>
        <w:numPr>
          <w:ilvl w:val="1"/>
          <w:numId w:val="9"/>
        </w:numPr>
      </w:pPr>
      <w:r w:rsidRPr="005E4531">
        <w:t>v</w:t>
      </w:r>
      <w:r w:rsidR="008072C6" w:rsidRPr="005E4531">
        <w:t>erschuiving van locatie van een aantal belangrijke operaties om kosten te drukken.</w:t>
      </w:r>
    </w:p>
    <w:p w14:paraId="4D974A94" w14:textId="77777777" w:rsidR="001E61D8" w:rsidRPr="005E4531" w:rsidRDefault="001E61D8" w:rsidP="008072C6"/>
    <w:p w14:paraId="4D974A95" w14:textId="58AF80B4" w:rsidR="00443B21" w:rsidRDefault="008072C6" w:rsidP="00443B21">
      <w:r w:rsidRPr="005E4531">
        <w:t xml:space="preserve">Het </w:t>
      </w:r>
      <w:r w:rsidRPr="005E4531">
        <w:rPr>
          <w:i/>
        </w:rPr>
        <w:t>Change Initiative</w:t>
      </w:r>
      <w:r w:rsidRPr="005E4531">
        <w:t xml:space="preserve"> is nog niet operationeel</w:t>
      </w:r>
      <w:r w:rsidR="007041D0" w:rsidRPr="005E4531">
        <w:t xml:space="preserve">, ook omdat </w:t>
      </w:r>
      <w:r w:rsidR="007041D0" w:rsidRPr="005E4531">
        <w:rPr>
          <w:szCs w:val="18"/>
        </w:rPr>
        <w:t xml:space="preserve">de OHCHR </w:t>
      </w:r>
      <w:r w:rsidR="007041D0" w:rsidRPr="005E4531">
        <w:t>voor dit plan nog geen goedkeuring heeft gekregen van de 5</w:t>
      </w:r>
      <w:r w:rsidR="007041D0" w:rsidRPr="005E4531">
        <w:rPr>
          <w:vertAlign w:val="superscript"/>
        </w:rPr>
        <w:t>de</w:t>
      </w:r>
      <w:r w:rsidR="007041D0" w:rsidRPr="005E4531">
        <w:t xml:space="preserve"> Commissie van de Algemene Vergadering van de Verenigde Naties in New York. </w:t>
      </w:r>
    </w:p>
    <w:p w14:paraId="5FE96F53" w14:textId="3114E289" w:rsidR="00420848" w:rsidRDefault="00420848" w:rsidP="00443B21">
      <w:pPr>
        <w:rPr>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7"/>
        <w:gridCol w:w="950"/>
      </w:tblGrid>
      <w:tr w:rsidR="00420848" w:rsidRPr="005E4531" w14:paraId="26DAD955" w14:textId="77777777" w:rsidTr="00906D06">
        <w:tc>
          <w:tcPr>
            <w:tcW w:w="6747" w:type="dxa"/>
            <w:tcBorders>
              <w:top w:val="single" w:sz="12" w:space="0" w:color="auto"/>
              <w:left w:val="single" w:sz="12" w:space="0" w:color="auto"/>
              <w:bottom w:val="single" w:sz="12" w:space="0" w:color="auto"/>
            </w:tcBorders>
            <w:shd w:val="clear" w:color="auto" w:fill="D0CECE"/>
          </w:tcPr>
          <w:p w14:paraId="397441F0" w14:textId="77777777" w:rsidR="00420848" w:rsidRPr="005E4531" w:rsidRDefault="00420848" w:rsidP="0000250C">
            <w:pPr>
              <w:rPr>
                <w:b/>
              </w:rPr>
            </w:pPr>
            <w:r w:rsidRPr="005E4531">
              <w:rPr>
                <w:b/>
              </w:rPr>
              <w:t>Onderdeel</w:t>
            </w:r>
          </w:p>
        </w:tc>
        <w:tc>
          <w:tcPr>
            <w:tcW w:w="950" w:type="dxa"/>
            <w:tcBorders>
              <w:top w:val="single" w:sz="12" w:space="0" w:color="auto"/>
              <w:bottom w:val="single" w:sz="12" w:space="0" w:color="auto"/>
              <w:right w:val="single" w:sz="12" w:space="0" w:color="auto"/>
            </w:tcBorders>
            <w:shd w:val="clear" w:color="auto" w:fill="D0CECE"/>
          </w:tcPr>
          <w:p w14:paraId="3C125886" w14:textId="77777777" w:rsidR="00420848" w:rsidRPr="005E4531" w:rsidRDefault="00420848" w:rsidP="0000250C">
            <w:pPr>
              <w:rPr>
                <w:b/>
              </w:rPr>
            </w:pPr>
            <w:r w:rsidRPr="005E4531">
              <w:rPr>
                <w:b/>
              </w:rPr>
              <w:t>Score</w:t>
            </w:r>
          </w:p>
        </w:tc>
      </w:tr>
      <w:tr w:rsidR="00420848" w:rsidRPr="005E4531" w14:paraId="13B38084" w14:textId="77777777" w:rsidTr="00906D06">
        <w:tc>
          <w:tcPr>
            <w:tcW w:w="6747" w:type="dxa"/>
            <w:tcBorders>
              <w:top w:val="single" w:sz="12" w:space="0" w:color="auto"/>
              <w:left w:val="single" w:sz="12" w:space="0" w:color="auto"/>
            </w:tcBorders>
            <w:shd w:val="clear" w:color="auto" w:fill="auto"/>
          </w:tcPr>
          <w:p w14:paraId="34D064C0" w14:textId="77777777" w:rsidR="00420848" w:rsidRPr="005E4531" w:rsidRDefault="00420848" w:rsidP="0000250C">
            <w:r w:rsidRPr="005E4531">
              <w:t>RBM en RBB</w:t>
            </w:r>
          </w:p>
        </w:tc>
        <w:tc>
          <w:tcPr>
            <w:tcW w:w="950" w:type="dxa"/>
            <w:tcBorders>
              <w:top w:val="single" w:sz="12" w:space="0" w:color="auto"/>
              <w:right w:val="single" w:sz="12" w:space="0" w:color="auto"/>
            </w:tcBorders>
            <w:shd w:val="clear" w:color="auto" w:fill="auto"/>
          </w:tcPr>
          <w:p w14:paraId="39B5EF8B" w14:textId="52F06A7B" w:rsidR="00420848" w:rsidRPr="005E4531" w:rsidRDefault="00BD6617" w:rsidP="0000250C">
            <w:r>
              <w:t>4</w:t>
            </w:r>
          </w:p>
        </w:tc>
      </w:tr>
      <w:tr w:rsidR="00420848" w:rsidRPr="005E4531" w14:paraId="7354800C" w14:textId="77777777" w:rsidTr="00906D06">
        <w:tc>
          <w:tcPr>
            <w:tcW w:w="6747" w:type="dxa"/>
            <w:tcBorders>
              <w:left w:val="single" w:sz="12" w:space="0" w:color="auto"/>
            </w:tcBorders>
            <w:shd w:val="clear" w:color="auto" w:fill="auto"/>
          </w:tcPr>
          <w:p w14:paraId="6855F356" w14:textId="77777777" w:rsidR="00420848" w:rsidRPr="005E4531" w:rsidRDefault="00420848" w:rsidP="0000250C">
            <w:r w:rsidRPr="005E4531">
              <w:t>Inzichtelijk maken resultaten</w:t>
            </w:r>
          </w:p>
        </w:tc>
        <w:tc>
          <w:tcPr>
            <w:tcW w:w="950" w:type="dxa"/>
            <w:tcBorders>
              <w:right w:val="single" w:sz="12" w:space="0" w:color="auto"/>
            </w:tcBorders>
            <w:shd w:val="clear" w:color="auto" w:fill="auto"/>
          </w:tcPr>
          <w:p w14:paraId="44650A9A" w14:textId="77777777" w:rsidR="00420848" w:rsidRPr="005E4531" w:rsidRDefault="00420848" w:rsidP="0000250C">
            <w:r w:rsidRPr="005E4531">
              <w:t>3</w:t>
            </w:r>
          </w:p>
        </w:tc>
      </w:tr>
      <w:tr w:rsidR="00420848" w:rsidRPr="005E4531" w14:paraId="613A47F1" w14:textId="77777777" w:rsidTr="00906D06">
        <w:tc>
          <w:tcPr>
            <w:tcW w:w="6747" w:type="dxa"/>
            <w:tcBorders>
              <w:left w:val="single" w:sz="12" w:space="0" w:color="auto"/>
            </w:tcBorders>
            <w:shd w:val="clear" w:color="auto" w:fill="auto"/>
          </w:tcPr>
          <w:p w14:paraId="0BC13EDA" w14:textId="77777777" w:rsidR="00420848" w:rsidRPr="005E4531" w:rsidRDefault="00420848" w:rsidP="0000250C">
            <w:r w:rsidRPr="005E4531">
              <w:t>Inzichtelijk maken allocatie van middelen (o.a. IATI)</w:t>
            </w:r>
          </w:p>
        </w:tc>
        <w:tc>
          <w:tcPr>
            <w:tcW w:w="950" w:type="dxa"/>
            <w:tcBorders>
              <w:right w:val="single" w:sz="12" w:space="0" w:color="auto"/>
            </w:tcBorders>
            <w:shd w:val="clear" w:color="auto" w:fill="auto"/>
          </w:tcPr>
          <w:p w14:paraId="0F94F9A7" w14:textId="77777777" w:rsidR="00420848" w:rsidRPr="005E4531" w:rsidRDefault="00420848" w:rsidP="0000250C">
            <w:r w:rsidRPr="005E4531">
              <w:t>3</w:t>
            </w:r>
          </w:p>
        </w:tc>
      </w:tr>
      <w:tr w:rsidR="00420848" w:rsidRPr="005E4531" w14:paraId="0C4FC271" w14:textId="77777777" w:rsidTr="00906D06">
        <w:tc>
          <w:tcPr>
            <w:tcW w:w="6747" w:type="dxa"/>
            <w:tcBorders>
              <w:left w:val="single" w:sz="12" w:space="0" w:color="auto"/>
              <w:bottom w:val="single" w:sz="12" w:space="0" w:color="auto"/>
            </w:tcBorders>
            <w:shd w:val="clear" w:color="auto" w:fill="auto"/>
          </w:tcPr>
          <w:p w14:paraId="13E6E54F" w14:textId="77777777" w:rsidR="00420848" w:rsidRPr="005E4531" w:rsidRDefault="00420848" w:rsidP="0000250C">
            <w:r w:rsidRPr="005E4531">
              <w:t>Communicatie over resultaten</w:t>
            </w:r>
          </w:p>
        </w:tc>
        <w:tc>
          <w:tcPr>
            <w:tcW w:w="950" w:type="dxa"/>
            <w:tcBorders>
              <w:bottom w:val="single" w:sz="12" w:space="0" w:color="auto"/>
              <w:right w:val="single" w:sz="12" w:space="0" w:color="auto"/>
            </w:tcBorders>
            <w:shd w:val="clear" w:color="auto" w:fill="auto"/>
          </w:tcPr>
          <w:p w14:paraId="1BF7CBBD" w14:textId="77777777" w:rsidR="00420848" w:rsidRPr="005E4531" w:rsidRDefault="00420848" w:rsidP="0000250C">
            <w:r w:rsidRPr="005E4531">
              <w:t>3</w:t>
            </w:r>
          </w:p>
        </w:tc>
      </w:tr>
      <w:tr w:rsidR="00420848" w:rsidRPr="005E4531" w14:paraId="0EDD2610" w14:textId="77777777" w:rsidTr="00906D06">
        <w:tc>
          <w:tcPr>
            <w:tcW w:w="6747" w:type="dxa"/>
            <w:tcBorders>
              <w:top w:val="single" w:sz="12" w:space="0" w:color="auto"/>
              <w:left w:val="single" w:sz="12" w:space="0" w:color="auto"/>
              <w:bottom w:val="single" w:sz="12" w:space="0" w:color="auto"/>
            </w:tcBorders>
            <w:shd w:val="clear" w:color="auto" w:fill="D0CECE"/>
          </w:tcPr>
          <w:p w14:paraId="6AE3260A" w14:textId="77777777" w:rsidR="00420848" w:rsidRPr="005E4531" w:rsidRDefault="00420848" w:rsidP="0000250C">
            <w:pPr>
              <w:rPr>
                <w:b/>
              </w:rPr>
            </w:pPr>
            <w:r w:rsidRPr="005E4531">
              <w:rPr>
                <w:b/>
              </w:rPr>
              <w:t>TOTAAL</w:t>
            </w:r>
          </w:p>
        </w:tc>
        <w:tc>
          <w:tcPr>
            <w:tcW w:w="950" w:type="dxa"/>
            <w:tcBorders>
              <w:top w:val="single" w:sz="12" w:space="0" w:color="auto"/>
              <w:bottom w:val="single" w:sz="12" w:space="0" w:color="auto"/>
              <w:right w:val="single" w:sz="12" w:space="0" w:color="auto"/>
            </w:tcBorders>
            <w:shd w:val="clear" w:color="auto" w:fill="D0CECE"/>
          </w:tcPr>
          <w:p w14:paraId="2737484B" w14:textId="77777777" w:rsidR="00420848" w:rsidRPr="005E4531" w:rsidRDefault="00420848" w:rsidP="0000250C">
            <w:pPr>
              <w:rPr>
                <w:b/>
              </w:rPr>
            </w:pPr>
            <w:r w:rsidRPr="005E4531">
              <w:rPr>
                <w:b/>
              </w:rPr>
              <w:t>3</w:t>
            </w:r>
          </w:p>
        </w:tc>
      </w:tr>
    </w:tbl>
    <w:p w14:paraId="5509EBDC" w14:textId="77777777" w:rsidR="00420848" w:rsidRPr="005E4531" w:rsidRDefault="00420848" w:rsidP="00420848">
      <w:pPr>
        <w:rPr>
          <w:b/>
        </w:rPr>
      </w:pPr>
    </w:p>
    <w:p w14:paraId="78AA2BAA" w14:textId="77777777" w:rsidR="00420848" w:rsidRDefault="00420848" w:rsidP="00EB1D2E">
      <w:pPr>
        <w:ind w:firstLine="227"/>
      </w:pPr>
      <w:r w:rsidRPr="00193994">
        <w:t>Verandering</w:t>
      </w:r>
      <w:r>
        <w:t xml:space="preserve"> sinds 2015: neutraal</w:t>
      </w:r>
      <w:r w:rsidRPr="00193994">
        <w:t xml:space="preserve"> = </w:t>
      </w:r>
      <w:r w:rsidRPr="00193994">
        <w:sym w:font="Wingdings" w:char="F0E8"/>
      </w:r>
    </w:p>
    <w:p w14:paraId="09437731" w14:textId="77777777" w:rsidR="00420848" w:rsidRPr="005E4531" w:rsidRDefault="00420848" w:rsidP="00443B21">
      <w:pPr>
        <w:rPr>
          <w:szCs w:val="18"/>
        </w:rPr>
      </w:pPr>
    </w:p>
    <w:p w14:paraId="4D974A9A" w14:textId="6CB9DC29" w:rsidR="00F366F4" w:rsidRPr="005E4531" w:rsidRDefault="000C7B90" w:rsidP="00F366F4">
      <w:pPr>
        <w:pStyle w:val="Heading2"/>
        <w:numPr>
          <w:ilvl w:val="1"/>
          <w:numId w:val="20"/>
        </w:numPr>
        <w:tabs>
          <w:tab w:val="left" w:pos="-1162"/>
          <w:tab w:val="left" w:pos="0"/>
        </w:tabs>
        <w:spacing w:line="240" w:lineRule="auto"/>
        <w:rPr>
          <w:lang w:val="en-US"/>
        </w:rPr>
      </w:pPr>
      <w:r>
        <w:t xml:space="preserve">      </w:t>
      </w:r>
      <w:r w:rsidR="005519BB">
        <w:t xml:space="preserve"> </w:t>
      </w:r>
      <w:r w:rsidR="001114D4">
        <w:tab/>
      </w:r>
      <w:bookmarkStart w:id="34" w:name="_Toc491259071"/>
      <w:r w:rsidR="00F366F4" w:rsidRPr="005E4531">
        <w:t>Partnerschappen</w:t>
      </w:r>
      <w:r w:rsidR="00422948" w:rsidRPr="005E4531">
        <w:t xml:space="preserve"> en samenwerking</w:t>
      </w:r>
      <w:bookmarkEnd w:id="34"/>
    </w:p>
    <w:p w14:paraId="4D974A9C" w14:textId="7983B0EE" w:rsidR="00443B21" w:rsidRPr="005E4531" w:rsidRDefault="00443B21" w:rsidP="000C7B90">
      <w:pPr>
        <w:ind w:right="-211"/>
        <w:rPr>
          <w:szCs w:val="18"/>
        </w:rPr>
      </w:pPr>
      <w:r w:rsidRPr="005E4531">
        <w:rPr>
          <w:rFonts w:eastAsia="Arial Unicode MS"/>
          <w:szCs w:val="18"/>
        </w:rPr>
        <w:t>Het OHCHR werkt veel en goed samen met een grote verscheidenheid aan multilaterale en bilaterale instellingen.</w:t>
      </w:r>
      <w:r w:rsidR="0082329D">
        <w:rPr>
          <w:rFonts w:eastAsia="Arial Unicode MS"/>
          <w:szCs w:val="18"/>
        </w:rPr>
        <w:t xml:space="preserve"> Deze samenwerking is echter niet zo intensief dat over partnerschappen gesproken kan worden. De beoordeling in dit onderdeel ziet dus enkel op samenwerking.</w:t>
      </w:r>
      <w:r w:rsidRPr="005E4531">
        <w:rPr>
          <w:rFonts w:eastAsia="Arial Unicode MS"/>
          <w:szCs w:val="18"/>
        </w:rPr>
        <w:t xml:space="preserve"> Het kantoor spant zich bovendien in om mensenrechten te </w:t>
      </w:r>
      <w:r w:rsidRPr="005E4531">
        <w:rPr>
          <w:szCs w:val="18"/>
        </w:rPr>
        <w:t xml:space="preserve">vervlechten in het werk van andere VN-organisaties, onder meer door mensenrechtenadviseurs toe te voegen aan vredesmissies. Door het </w:t>
      </w:r>
      <w:r w:rsidR="00AA0E58" w:rsidRPr="00F44C9C">
        <w:rPr>
          <w:i/>
          <w:szCs w:val="18"/>
        </w:rPr>
        <w:t>Human Rights Up Front</w:t>
      </w:r>
      <w:r w:rsidR="007F78A0">
        <w:rPr>
          <w:szCs w:val="18"/>
        </w:rPr>
        <w:t>-</w:t>
      </w:r>
      <w:r w:rsidRPr="005E4531">
        <w:rPr>
          <w:szCs w:val="18"/>
        </w:rPr>
        <w:t>plan van de S</w:t>
      </w:r>
      <w:r w:rsidR="007041D0" w:rsidRPr="005E4531">
        <w:rPr>
          <w:szCs w:val="18"/>
        </w:rPr>
        <w:t>ecretaris</w:t>
      </w:r>
      <w:r w:rsidR="00FD6DC6">
        <w:rPr>
          <w:szCs w:val="18"/>
        </w:rPr>
        <w:t>-</w:t>
      </w:r>
      <w:r w:rsidRPr="005E4531">
        <w:rPr>
          <w:szCs w:val="18"/>
        </w:rPr>
        <w:t>G</w:t>
      </w:r>
      <w:r w:rsidR="007041D0" w:rsidRPr="005E4531">
        <w:rPr>
          <w:szCs w:val="18"/>
        </w:rPr>
        <w:t xml:space="preserve">eneraal van de </w:t>
      </w:r>
      <w:r w:rsidRPr="005E4531">
        <w:rPr>
          <w:szCs w:val="18"/>
        </w:rPr>
        <w:t>VN zit OHCHR in de voorste gelederen bij de ontwikkeling van een VN-brede aanpak voor het voorkomen van massale mensenrechtenschendingen</w:t>
      </w:r>
      <w:r w:rsidR="007F78A0">
        <w:rPr>
          <w:szCs w:val="18"/>
        </w:rPr>
        <w:t>,</w:t>
      </w:r>
      <w:r w:rsidRPr="005E4531">
        <w:rPr>
          <w:szCs w:val="18"/>
        </w:rPr>
        <w:t xml:space="preserve"> door middel van </w:t>
      </w:r>
      <w:r w:rsidRPr="005E4531">
        <w:rPr>
          <w:i/>
          <w:szCs w:val="18"/>
        </w:rPr>
        <w:t>early warning</w:t>
      </w:r>
      <w:r w:rsidRPr="005E4531">
        <w:rPr>
          <w:szCs w:val="18"/>
        </w:rPr>
        <w:t xml:space="preserve">. Samen met het </w:t>
      </w:r>
      <w:r w:rsidR="00AA0E58" w:rsidRPr="00F44C9C">
        <w:rPr>
          <w:i/>
          <w:szCs w:val="18"/>
        </w:rPr>
        <w:t>Department of Peacekeeping Operations</w:t>
      </w:r>
      <w:r w:rsidRPr="005E4531">
        <w:rPr>
          <w:szCs w:val="18"/>
        </w:rPr>
        <w:t xml:space="preserve">, het </w:t>
      </w:r>
      <w:r w:rsidR="00AA0E58" w:rsidRPr="00F44C9C">
        <w:rPr>
          <w:i/>
          <w:szCs w:val="18"/>
        </w:rPr>
        <w:t>Department of Political Affairs</w:t>
      </w:r>
      <w:r w:rsidRPr="005E4531">
        <w:rPr>
          <w:szCs w:val="18"/>
        </w:rPr>
        <w:t xml:space="preserve"> en het </w:t>
      </w:r>
      <w:r w:rsidR="00AA0E58" w:rsidRPr="00F44C9C">
        <w:rPr>
          <w:i/>
          <w:szCs w:val="18"/>
        </w:rPr>
        <w:t>Department of Field Support</w:t>
      </w:r>
      <w:r w:rsidRPr="005E4531">
        <w:rPr>
          <w:szCs w:val="18"/>
        </w:rPr>
        <w:t xml:space="preserve"> van de VN is een praktische en operationele structuur ontwikkeld om dit beleid uit te voeren</w:t>
      </w:r>
      <w:r w:rsidR="00CD78DD">
        <w:rPr>
          <w:szCs w:val="18"/>
        </w:rPr>
        <w:t>.</w:t>
      </w:r>
      <w:r w:rsidRPr="005E4531">
        <w:rPr>
          <w:szCs w:val="18"/>
        </w:rPr>
        <w:t xml:space="preserve"> </w:t>
      </w:r>
    </w:p>
    <w:p w14:paraId="4D974A9D" w14:textId="77777777" w:rsidR="00443B21" w:rsidRPr="005E4531" w:rsidRDefault="00443B21" w:rsidP="00443B21">
      <w:pPr>
        <w:rPr>
          <w:szCs w:val="18"/>
        </w:rPr>
      </w:pPr>
    </w:p>
    <w:p w14:paraId="4D974A9E" w14:textId="406CEE8B" w:rsidR="00443B21" w:rsidRDefault="00443B21" w:rsidP="00443B21">
      <w:pPr>
        <w:rPr>
          <w:szCs w:val="18"/>
        </w:rPr>
      </w:pPr>
      <w:r w:rsidRPr="005E4531">
        <w:rPr>
          <w:szCs w:val="18"/>
        </w:rPr>
        <w:t xml:space="preserve">OHCHR maakt deel uit van het VN-secretariaat en gaat geen </w:t>
      </w:r>
      <w:r w:rsidR="007041D0" w:rsidRPr="005E4531">
        <w:rPr>
          <w:szCs w:val="18"/>
        </w:rPr>
        <w:t>officiële</w:t>
      </w:r>
      <w:r w:rsidRPr="005E4531">
        <w:rPr>
          <w:szCs w:val="18"/>
        </w:rPr>
        <w:t xml:space="preserve"> partnerschappen aan met andere VN-onderdelen als </w:t>
      </w:r>
      <w:r w:rsidR="008E78DD">
        <w:rPr>
          <w:szCs w:val="18"/>
        </w:rPr>
        <w:t xml:space="preserve">het Bureau voor de </w:t>
      </w:r>
      <w:r w:rsidR="006567A6">
        <w:rPr>
          <w:szCs w:val="18"/>
        </w:rPr>
        <w:t>Coördinatie</w:t>
      </w:r>
      <w:r w:rsidR="008E78DD">
        <w:rPr>
          <w:szCs w:val="18"/>
        </w:rPr>
        <w:t xml:space="preserve"> van Humanitaire zaken (</w:t>
      </w:r>
      <w:r w:rsidRPr="005E4531">
        <w:rPr>
          <w:szCs w:val="18"/>
        </w:rPr>
        <w:t>OCHA</w:t>
      </w:r>
      <w:r w:rsidR="008E78DD">
        <w:rPr>
          <w:szCs w:val="18"/>
        </w:rPr>
        <w:t>)</w:t>
      </w:r>
      <w:r w:rsidRPr="005E4531">
        <w:rPr>
          <w:szCs w:val="18"/>
        </w:rPr>
        <w:t xml:space="preserve">, </w:t>
      </w:r>
      <w:r w:rsidR="008E78DD" w:rsidRPr="001B06FD">
        <w:rPr>
          <w:i/>
          <w:szCs w:val="18"/>
        </w:rPr>
        <w:t>United Nations Development Program</w:t>
      </w:r>
      <w:r w:rsidR="008E78DD">
        <w:rPr>
          <w:szCs w:val="18"/>
        </w:rPr>
        <w:t xml:space="preserve"> (</w:t>
      </w:r>
      <w:r w:rsidRPr="005E4531">
        <w:rPr>
          <w:szCs w:val="18"/>
        </w:rPr>
        <w:t>UNDP</w:t>
      </w:r>
      <w:r w:rsidR="008E78DD">
        <w:rPr>
          <w:szCs w:val="18"/>
        </w:rPr>
        <w:t>)</w:t>
      </w:r>
      <w:r w:rsidRPr="005E4531">
        <w:rPr>
          <w:szCs w:val="18"/>
        </w:rPr>
        <w:t xml:space="preserve"> of </w:t>
      </w:r>
      <w:r w:rsidR="008E78DD">
        <w:rPr>
          <w:szCs w:val="18"/>
        </w:rPr>
        <w:t xml:space="preserve">de </w:t>
      </w:r>
      <w:r w:rsidR="008E78DD" w:rsidRPr="001B06FD">
        <w:rPr>
          <w:i/>
          <w:szCs w:val="18"/>
        </w:rPr>
        <w:t>Food and Agriculture Organization of the UN</w:t>
      </w:r>
      <w:r w:rsidR="008E78DD">
        <w:rPr>
          <w:szCs w:val="18"/>
        </w:rPr>
        <w:t xml:space="preserve"> (</w:t>
      </w:r>
      <w:r w:rsidRPr="005E4531">
        <w:rPr>
          <w:szCs w:val="18"/>
        </w:rPr>
        <w:t>FAO</w:t>
      </w:r>
      <w:r w:rsidR="008E78DD">
        <w:rPr>
          <w:szCs w:val="18"/>
        </w:rPr>
        <w:t>)</w:t>
      </w:r>
      <w:r w:rsidRPr="005E4531">
        <w:rPr>
          <w:szCs w:val="18"/>
        </w:rPr>
        <w:t>. Wel bestaa</w:t>
      </w:r>
      <w:r w:rsidR="004E2ED6">
        <w:rPr>
          <w:szCs w:val="18"/>
        </w:rPr>
        <w:t>t</w:t>
      </w:r>
      <w:r w:rsidRPr="005E4531">
        <w:rPr>
          <w:szCs w:val="18"/>
        </w:rPr>
        <w:t xml:space="preserve"> er samenwerking in andere vorm</w:t>
      </w:r>
      <w:r w:rsidR="007041D0" w:rsidRPr="005E4531">
        <w:rPr>
          <w:szCs w:val="18"/>
        </w:rPr>
        <w:t xml:space="preserve">, zo is OHCHR vaak onderdeel van </w:t>
      </w:r>
      <w:r w:rsidR="00AA0E58" w:rsidRPr="00F44C9C">
        <w:rPr>
          <w:i/>
          <w:szCs w:val="18"/>
        </w:rPr>
        <w:t>United Nations Country Teams</w:t>
      </w:r>
      <w:r w:rsidRPr="005E4531">
        <w:rPr>
          <w:szCs w:val="18"/>
        </w:rPr>
        <w:t xml:space="preserve">. Alleen de Hoge Commissaris heeft de bevoegdheid </w:t>
      </w:r>
      <w:r w:rsidR="00420848">
        <w:rPr>
          <w:szCs w:val="18"/>
        </w:rPr>
        <w:t>samenwerkings</w:t>
      </w:r>
      <w:r w:rsidR="004E2ED6">
        <w:rPr>
          <w:szCs w:val="18"/>
        </w:rPr>
        <w:t>over</w:t>
      </w:r>
      <w:r w:rsidR="007041D0" w:rsidRPr="005E4531">
        <w:rPr>
          <w:szCs w:val="18"/>
        </w:rPr>
        <w:t>eenkomsten van de</w:t>
      </w:r>
      <w:r w:rsidRPr="005E4531">
        <w:rPr>
          <w:szCs w:val="18"/>
        </w:rPr>
        <w:t xml:space="preserve"> OHCHR te tekenen, namens de Secretaris-Generaal</w:t>
      </w:r>
      <w:r w:rsidR="007041D0" w:rsidRPr="005E4531">
        <w:rPr>
          <w:szCs w:val="18"/>
        </w:rPr>
        <w:t xml:space="preserve">. </w:t>
      </w:r>
    </w:p>
    <w:p w14:paraId="6EB51072" w14:textId="4F1EB495" w:rsidR="006567A6" w:rsidRDefault="006567A6" w:rsidP="00443B21">
      <w:pPr>
        <w:rPr>
          <w:szCs w:val="18"/>
        </w:rPr>
      </w:pPr>
    </w:p>
    <w:p w14:paraId="6802A49F" w14:textId="0D98082F" w:rsidR="006567A6" w:rsidRPr="005E4531" w:rsidRDefault="006567A6" w:rsidP="000C7B90">
      <w:pPr>
        <w:ind w:right="-211"/>
        <w:rPr>
          <w:szCs w:val="18"/>
        </w:rPr>
      </w:pPr>
      <w:r>
        <w:rPr>
          <w:szCs w:val="18"/>
        </w:rPr>
        <w:t xml:space="preserve">OHCHR zet steeds meer in op samenwerking en partnerschappen met niet statelijke actoren, </w:t>
      </w:r>
      <w:r w:rsidR="00F67930">
        <w:rPr>
          <w:szCs w:val="18"/>
        </w:rPr>
        <w:t>zoals</w:t>
      </w:r>
      <w:r>
        <w:rPr>
          <w:szCs w:val="18"/>
        </w:rPr>
        <w:t xml:space="preserve"> </w:t>
      </w:r>
      <w:r w:rsidRPr="006567A6">
        <w:rPr>
          <w:i/>
          <w:szCs w:val="18"/>
        </w:rPr>
        <w:t>foundations</w:t>
      </w:r>
      <w:r w:rsidR="000554A7">
        <w:rPr>
          <w:i/>
          <w:szCs w:val="18"/>
        </w:rPr>
        <w:t xml:space="preserve"> </w:t>
      </w:r>
      <w:r w:rsidR="000554A7">
        <w:rPr>
          <w:szCs w:val="18"/>
        </w:rPr>
        <w:t>en</w:t>
      </w:r>
      <w:r>
        <w:rPr>
          <w:szCs w:val="18"/>
        </w:rPr>
        <w:t xml:space="preserve"> bedrijven. In 2017 sloot OHCHR een 5-jarig samenwerkingsverband met Microsoft </w:t>
      </w:r>
      <w:r w:rsidR="00F67930">
        <w:rPr>
          <w:szCs w:val="18"/>
        </w:rPr>
        <w:t>(</w:t>
      </w:r>
      <w:r>
        <w:rPr>
          <w:szCs w:val="18"/>
        </w:rPr>
        <w:t>‘</w:t>
      </w:r>
      <w:r w:rsidRPr="001B06FD">
        <w:rPr>
          <w:i/>
          <w:szCs w:val="18"/>
        </w:rPr>
        <w:t>technology for human rights’</w:t>
      </w:r>
      <w:r w:rsidR="00F67930">
        <w:rPr>
          <w:szCs w:val="18"/>
        </w:rPr>
        <w:t>)</w:t>
      </w:r>
      <w:r>
        <w:rPr>
          <w:szCs w:val="18"/>
        </w:rPr>
        <w:t>. Microsoft zal een bijdrage leveren</w:t>
      </w:r>
      <w:r w:rsidR="00F67930">
        <w:rPr>
          <w:szCs w:val="18"/>
        </w:rPr>
        <w:t xml:space="preserve"> van</w:t>
      </w:r>
      <w:r>
        <w:rPr>
          <w:szCs w:val="18"/>
        </w:rPr>
        <w:t xml:space="preserve"> 5 miljoen USD over een periode van 5 jaar</w:t>
      </w:r>
      <w:r w:rsidR="00A62BB8">
        <w:rPr>
          <w:szCs w:val="18"/>
        </w:rPr>
        <w:t xml:space="preserve">. </w:t>
      </w:r>
      <w:r>
        <w:rPr>
          <w:szCs w:val="18"/>
        </w:rPr>
        <w:t>OHCHR is in gesprek met andere bedrijven</w:t>
      </w:r>
      <w:r w:rsidR="00F67930">
        <w:rPr>
          <w:szCs w:val="18"/>
        </w:rPr>
        <w:t xml:space="preserve"> over </w:t>
      </w:r>
      <w:r>
        <w:rPr>
          <w:szCs w:val="18"/>
        </w:rPr>
        <w:t xml:space="preserve">samenwerking </w:t>
      </w:r>
      <w:r w:rsidR="00F67930">
        <w:rPr>
          <w:szCs w:val="18"/>
        </w:rPr>
        <w:t xml:space="preserve">op het gebied van </w:t>
      </w:r>
      <w:r>
        <w:rPr>
          <w:szCs w:val="18"/>
        </w:rPr>
        <w:t>mensenrechten</w:t>
      </w:r>
      <w:r w:rsidR="00F67930">
        <w:rPr>
          <w:szCs w:val="18"/>
        </w:rPr>
        <w:t xml:space="preserve"> (‘</w:t>
      </w:r>
      <w:r w:rsidR="00F67930" w:rsidRPr="001B06FD">
        <w:rPr>
          <w:i/>
          <w:szCs w:val="18"/>
        </w:rPr>
        <w:t>business and human rights’</w:t>
      </w:r>
      <w:r w:rsidR="00F67930">
        <w:rPr>
          <w:szCs w:val="18"/>
        </w:rPr>
        <w:t>)</w:t>
      </w:r>
      <w:r w:rsidR="000554A7">
        <w:rPr>
          <w:szCs w:val="18"/>
        </w:rPr>
        <w:t xml:space="preserve">. </w:t>
      </w:r>
    </w:p>
    <w:p w14:paraId="4D974A9F" w14:textId="77777777" w:rsidR="00443B21" w:rsidRPr="005E4531" w:rsidRDefault="00443B21" w:rsidP="00443B21">
      <w:pPr>
        <w:rPr>
          <w:szCs w:val="18"/>
        </w:rPr>
      </w:pPr>
    </w:p>
    <w:p w14:paraId="4D974AA0" w14:textId="651FCFDE" w:rsidR="00443B21" w:rsidRPr="005E4531" w:rsidRDefault="00443B21" w:rsidP="00443B21">
      <w:pPr>
        <w:rPr>
          <w:szCs w:val="18"/>
        </w:rPr>
      </w:pPr>
      <w:r w:rsidRPr="005E4531">
        <w:rPr>
          <w:szCs w:val="18"/>
        </w:rPr>
        <w:t xml:space="preserve">Daarnaast draagt OHCHR bij aan de doorwerking en implementatie van de aanbevelingen van de </w:t>
      </w:r>
      <w:r w:rsidRPr="005E4531">
        <w:rPr>
          <w:i/>
          <w:szCs w:val="18"/>
        </w:rPr>
        <w:t>Universal Periodic Review</w:t>
      </w:r>
      <w:r w:rsidRPr="005E4531">
        <w:rPr>
          <w:szCs w:val="18"/>
        </w:rPr>
        <w:t xml:space="preserve"> (landenexamens) door op nationaal niveau in gesprek te gaan met de betreffende overheden en aanwezige VN-organisaties </w:t>
      </w:r>
      <w:r w:rsidR="006567A6">
        <w:rPr>
          <w:szCs w:val="18"/>
        </w:rPr>
        <w:t xml:space="preserve">en het maatschappelijk middenveld </w:t>
      </w:r>
      <w:r w:rsidRPr="005E4531">
        <w:rPr>
          <w:szCs w:val="18"/>
        </w:rPr>
        <w:t xml:space="preserve">over de uitvoering van de aanbevelingen die in deze sessies zijn gedaan om de mensenrechtensituatie te verbeteren. </w:t>
      </w:r>
    </w:p>
    <w:p w14:paraId="4D974AA1" w14:textId="77777777" w:rsidR="00443B21" w:rsidRPr="005E4531" w:rsidRDefault="00443B21" w:rsidP="00443B21">
      <w:pPr>
        <w:rPr>
          <w:szCs w:val="18"/>
        </w:rPr>
      </w:pPr>
    </w:p>
    <w:p w14:paraId="4D974AA5" w14:textId="77777777" w:rsidR="008E22BC" w:rsidRPr="005E4531" w:rsidRDefault="008E22BC" w:rsidP="00BD7AE6">
      <w:pPr>
        <w:ind w:left="-454"/>
        <w:rPr>
          <w:b/>
        </w:rPr>
      </w:pPr>
    </w:p>
    <w:p w14:paraId="6ABA1A94" w14:textId="77777777" w:rsidR="00906D06" w:rsidRDefault="00906D06">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7"/>
        <w:gridCol w:w="950"/>
      </w:tblGrid>
      <w:tr w:rsidR="005E4531" w:rsidRPr="005E4531" w14:paraId="4D974AA8" w14:textId="77777777" w:rsidTr="00906D06">
        <w:tc>
          <w:tcPr>
            <w:tcW w:w="6747" w:type="dxa"/>
            <w:tcBorders>
              <w:top w:val="single" w:sz="12" w:space="0" w:color="auto"/>
              <w:left w:val="single" w:sz="12" w:space="0" w:color="auto"/>
              <w:bottom w:val="single" w:sz="12" w:space="0" w:color="auto"/>
            </w:tcBorders>
            <w:shd w:val="clear" w:color="auto" w:fill="D0CECE"/>
          </w:tcPr>
          <w:p w14:paraId="4D974AA6" w14:textId="5891C186" w:rsidR="002A310E" w:rsidRPr="005E4531" w:rsidRDefault="002A310E" w:rsidP="00382AE3">
            <w:pPr>
              <w:rPr>
                <w:b/>
              </w:rPr>
            </w:pPr>
            <w:r w:rsidRPr="005E4531">
              <w:rPr>
                <w:b/>
              </w:rPr>
              <w:lastRenderedPageBreak/>
              <w:t>Onderdeel</w:t>
            </w:r>
          </w:p>
        </w:tc>
        <w:tc>
          <w:tcPr>
            <w:tcW w:w="950" w:type="dxa"/>
            <w:tcBorders>
              <w:top w:val="single" w:sz="12" w:space="0" w:color="auto"/>
              <w:bottom w:val="single" w:sz="12" w:space="0" w:color="auto"/>
              <w:right w:val="single" w:sz="12" w:space="0" w:color="auto"/>
            </w:tcBorders>
            <w:shd w:val="clear" w:color="auto" w:fill="D0CECE"/>
          </w:tcPr>
          <w:p w14:paraId="4D974AA7" w14:textId="77777777" w:rsidR="002A310E" w:rsidRPr="005E4531" w:rsidRDefault="002A310E" w:rsidP="00382AE3">
            <w:pPr>
              <w:rPr>
                <w:b/>
              </w:rPr>
            </w:pPr>
            <w:r w:rsidRPr="005E4531">
              <w:rPr>
                <w:b/>
              </w:rPr>
              <w:t>Score</w:t>
            </w:r>
          </w:p>
        </w:tc>
      </w:tr>
      <w:tr w:rsidR="005E4531" w:rsidRPr="005E4531" w14:paraId="4D974AAB" w14:textId="77777777" w:rsidTr="00906D06">
        <w:tc>
          <w:tcPr>
            <w:tcW w:w="6747" w:type="dxa"/>
            <w:tcBorders>
              <w:top w:val="single" w:sz="12" w:space="0" w:color="auto"/>
              <w:left w:val="single" w:sz="12" w:space="0" w:color="auto"/>
            </w:tcBorders>
            <w:shd w:val="clear" w:color="auto" w:fill="auto"/>
          </w:tcPr>
          <w:p w14:paraId="4D974AA9" w14:textId="77777777" w:rsidR="002A310E" w:rsidRPr="005E4531" w:rsidRDefault="00CD7B6F" w:rsidP="00382AE3">
            <w:r w:rsidRPr="005E4531">
              <w:t>Partnerschappen met andere organisaties</w:t>
            </w:r>
          </w:p>
        </w:tc>
        <w:tc>
          <w:tcPr>
            <w:tcW w:w="950" w:type="dxa"/>
            <w:tcBorders>
              <w:top w:val="single" w:sz="12" w:space="0" w:color="auto"/>
              <w:right w:val="single" w:sz="12" w:space="0" w:color="auto"/>
            </w:tcBorders>
            <w:shd w:val="clear" w:color="auto" w:fill="auto"/>
          </w:tcPr>
          <w:p w14:paraId="4D974AAA" w14:textId="768C611A" w:rsidR="002A310E" w:rsidRPr="005E4531" w:rsidRDefault="002F3182" w:rsidP="0082329D">
            <w:r>
              <w:t>3</w:t>
            </w:r>
          </w:p>
        </w:tc>
      </w:tr>
      <w:tr w:rsidR="005E4531" w:rsidRPr="005E4531" w14:paraId="4D974AAE" w14:textId="77777777" w:rsidTr="00906D06">
        <w:tc>
          <w:tcPr>
            <w:tcW w:w="6747" w:type="dxa"/>
            <w:tcBorders>
              <w:left w:val="single" w:sz="12" w:space="0" w:color="auto"/>
            </w:tcBorders>
            <w:shd w:val="clear" w:color="auto" w:fill="auto"/>
          </w:tcPr>
          <w:p w14:paraId="4D974AAC" w14:textId="77777777" w:rsidR="002A310E" w:rsidRPr="005E4531" w:rsidRDefault="00CD7B6F" w:rsidP="00382AE3">
            <w:r w:rsidRPr="005E4531">
              <w:t>Visie en rol partnerschappen</w:t>
            </w:r>
          </w:p>
        </w:tc>
        <w:tc>
          <w:tcPr>
            <w:tcW w:w="950" w:type="dxa"/>
            <w:tcBorders>
              <w:right w:val="single" w:sz="12" w:space="0" w:color="auto"/>
            </w:tcBorders>
            <w:shd w:val="clear" w:color="auto" w:fill="auto"/>
          </w:tcPr>
          <w:p w14:paraId="4D974AAD" w14:textId="0CF44218" w:rsidR="002A310E" w:rsidRPr="005E4531" w:rsidRDefault="002F3182" w:rsidP="00382AE3">
            <w:r>
              <w:t>3</w:t>
            </w:r>
          </w:p>
        </w:tc>
      </w:tr>
      <w:tr w:rsidR="005E4531" w:rsidRPr="005E4531" w14:paraId="4D974AB1" w14:textId="77777777" w:rsidTr="00906D06">
        <w:tc>
          <w:tcPr>
            <w:tcW w:w="6747" w:type="dxa"/>
            <w:tcBorders>
              <w:left w:val="single" w:sz="12" w:space="0" w:color="auto"/>
            </w:tcBorders>
            <w:shd w:val="clear" w:color="auto" w:fill="auto"/>
          </w:tcPr>
          <w:p w14:paraId="4D974AAF" w14:textId="77777777" w:rsidR="002A310E" w:rsidRPr="005E4531" w:rsidRDefault="00CD7B6F" w:rsidP="00C447C0">
            <w:r w:rsidRPr="005E4531">
              <w:t>Aanslu</w:t>
            </w:r>
            <w:r w:rsidR="00C447C0" w:rsidRPr="005E4531">
              <w:t>iting partnerschappen met andere actoren</w:t>
            </w:r>
          </w:p>
        </w:tc>
        <w:tc>
          <w:tcPr>
            <w:tcW w:w="950" w:type="dxa"/>
            <w:tcBorders>
              <w:right w:val="single" w:sz="12" w:space="0" w:color="auto"/>
            </w:tcBorders>
            <w:shd w:val="clear" w:color="auto" w:fill="auto"/>
          </w:tcPr>
          <w:p w14:paraId="4D974AB0" w14:textId="014E6DED" w:rsidR="002A310E" w:rsidRPr="005E4531" w:rsidRDefault="002F3182" w:rsidP="00382AE3">
            <w:r>
              <w:t>3</w:t>
            </w:r>
          </w:p>
        </w:tc>
      </w:tr>
      <w:tr w:rsidR="005E4531" w:rsidRPr="005E4531" w14:paraId="4D974AB4" w14:textId="77777777" w:rsidTr="00906D06">
        <w:tc>
          <w:tcPr>
            <w:tcW w:w="6747" w:type="dxa"/>
            <w:tcBorders>
              <w:left w:val="single" w:sz="12" w:space="0" w:color="auto"/>
            </w:tcBorders>
            <w:shd w:val="clear" w:color="auto" w:fill="auto"/>
          </w:tcPr>
          <w:p w14:paraId="4D974AB2" w14:textId="77777777" w:rsidR="00422948" w:rsidRPr="005E4531" w:rsidRDefault="00072371" w:rsidP="00C447C0">
            <w:r w:rsidRPr="005E4531">
              <w:t>Samenwerking en coördinatie overige actoren</w:t>
            </w:r>
          </w:p>
        </w:tc>
        <w:tc>
          <w:tcPr>
            <w:tcW w:w="950" w:type="dxa"/>
            <w:tcBorders>
              <w:right w:val="single" w:sz="12" w:space="0" w:color="auto"/>
            </w:tcBorders>
            <w:shd w:val="clear" w:color="auto" w:fill="auto"/>
          </w:tcPr>
          <w:p w14:paraId="4D974AB3" w14:textId="77777777" w:rsidR="00422948" w:rsidRPr="005E4531" w:rsidRDefault="002E7903" w:rsidP="00382AE3">
            <w:r w:rsidRPr="005E4531">
              <w:t>4</w:t>
            </w:r>
          </w:p>
        </w:tc>
      </w:tr>
      <w:tr w:rsidR="005E4531" w:rsidRPr="005E4531" w14:paraId="4D974AB7" w14:textId="77777777" w:rsidTr="00906D06">
        <w:tc>
          <w:tcPr>
            <w:tcW w:w="6747" w:type="dxa"/>
            <w:tcBorders>
              <w:top w:val="single" w:sz="12" w:space="0" w:color="auto"/>
              <w:left w:val="single" w:sz="12" w:space="0" w:color="auto"/>
              <w:bottom w:val="single" w:sz="12" w:space="0" w:color="auto"/>
            </w:tcBorders>
            <w:shd w:val="clear" w:color="auto" w:fill="D0CECE"/>
          </w:tcPr>
          <w:p w14:paraId="4D974AB5" w14:textId="77777777" w:rsidR="002A310E" w:rsidRPr="005E4531" w:rsidRDefault="002A310E" w:rsidP="00382AE3">
            <w:pPr>
              <w:rPr>
                <w:b/>
              </w:rPr>
            </w:pPr>
            <w:r w:rsidRPr="005E4531">
              <w:rPr>
                <w:b/>
              </w:rPr>
              <w:t>TOTAAL</w:t>
            </w:r>
          </w:p>
        </w:tc>
        <w:tc>
          <w:tcPr>
            <w:tcW w:w="950" w:type="dxa"/>
            <w:tcBorders>
              <w:top w:val="single" w:sz="12" w:space="0" w:color="auto"/>
              <w:bottom w:val="single" w:sz="12" w:space="0" w:color="auto"/>
              <w:right w:val="single" w:sz="12" w:space="0" w:color="auto"/>
            </w:tcBorders>
            <w:shd w:val="clear" w:color="auto" w:fill="D0CECE"/>
          </w:tcPr>
          <w:p w14:paraId="4D974AB6" w14:textId="4AA06912" w:rsidR="002A310E" w:rsidRPr="005E4531" w:rsidRDefault="002E7903" w:rsidP="00504688">
            <w:pPr>
              <w:rPr>
                <w:b/>
              </w:rPr>
            </w:pPr>
            <w:r w:rsidRPr="005E4531">
              <w:rPr>
                <w:b/>
              </w:rPr>
              <w:t xml:space="preserve">4 </w:t>
            </w:r>
          </w:p>
        </w:tc>
      </w:tr>
    </w:tbl>
    <w:p w14:paraId="4D974AB8" w14:textId="77777777" w:rsidR="00B54564" w:rsidRPr="005E4531" w:rsidRDefault="00B54564" w:rsidP="003412ED"/>
    <w:p w14:paraId="4D974ABB" w14:textId="77777777" w:rsidR="00504688" w:rsidRDefault="00504688" w:rsidP="00EB1D2E">
      <w:pPr>
        <w:ind w:firstLine="227"/>
      </w:pPr>
      <w:r w:rsidRPr="00193994">
        <w:t>Verandering</w:t>
      </w:r>
      <w:r>
        <w:t xml:space="preserve"> sinds 2015: neutraal</w:t>
      </w:r>
      <w:r w:rsidRPr="00193994">
        <w:t xml:space="preserve"> = </w:t>
      </w:r>
      <w:r w:rsidRPr="00193994">
        <w:sym w:font="Wingdings" w:char="F0E8"/>
      </w:r>
    </w:p>
    <w:p w14:paraId="4D974ABC" w14:textId="77777777" w:rsidR="00B54564" w:rsidRPr="005E4531" w:rsidRDefault="00B54564" w:rsidP="003412ED"/>
    <w:p w14:paraId="4D974ABD" w14:textId="5D3F0205" w:rsidR="00DE343C" w:rsidRPr="005E4531" w:rsidRDefault="005519BB" w:rsidP="004D372F">
      <w:pPr>
        <w:pStyle w:val="Heading2"/>
        <w:tabs>
          <w:tab w:val="left" w:pos="-1162"/>
          <w:tab w:val="left" w:pos="0"/>
          <w:tab w:val="num" w:pos="1160"/>
        </w:tabs>
        <w:spacing w:line="240" w:lineRule="auto"/>
        <w:ind w:hanging="1162"/>
      </w:pPr>
      <w:bookmarkStart w:id="35" w:name="_Toc410140903"/>
      <w:bookmarkStart w:id="36" w:name="_Toc491259072"/>
      <w:r>
        <w:t>4</w:t>
      </w:r>
      <w:r w:rsidR="004D372F" w:rsidRPr="005E4531">
        <w:t>.</w:t>
      </w:r>
      <w:r w:rsidR="00A74DEC" w:rsidRPr="005E4531">
        <w:t>4</w:t>
      </w:r>
      <w:r w:rsidR="004D372F" w:rsidRPr="005E4531">
        <w:t xml:space="preserve"> </w:t>
      </w:r>
      <w:r w:rsidR="0031751C" w:rsidRPr="005E4531">
        <w:tab/>
      </w:r>
      <w:r w:rsidR="00CD7B6F" w:rsidRPr="005E4531">
        <w:t>Operationeel management</w:t>
      </w:r>
      <w:bookmarkEnd w:id="35"/>
      <w:bookmarkEnd w:id="36"/>
      <w:r w:rsidR="003E3912" w:rsidRPr="005E4531">
        <w:t xml:space="preserve"> </w:t>
      </w:r>
    </w:p>
    <w:p w14:paraId="4D974ABF" w14:textId="46543764" w:rsidR="007F462B" w:rsidRPr="005E4531" w:rsidRDefault="005F4AF2" w:rsidP="000C7B90">
      <w:pPr>
        <w:ind w:right="-211"/>
      </w:pPr>
      <w:r w:rsidRPr="005E4531">
        <w:rPr>
          <w:szCs w:val="18"/>
        </w:rPr>
        <w:t xml:space="preserve">Met het vierjarig </w:t>
      </w:r>
      <w:r w:rsidR="00D661C6">
        <w:rPr>
          <w:szCs w:val="18"/>
        </w:rPr>
        <w:t>Strategisch M</w:t>
      </w:r>
      <w:r w:rsidRPr="005E4531">
        <w:rPr>
          <w:szCs w:val="18"/>
        </w:rPr>
        <w:t>anagement</w:t>
      </w:r>
      <w:r w:rsidR="00D661C6">
        <w:rPr>
          <w:szCs w:val="18"/>
        </w:rPr>
        <w:t xml:space="preserve"> P</w:t>
      </w:r>
      <w:r w:rsidRPr="005E4531">
        <w:rPr>
          <w:szCs w:val="18"/>
        </w:rPr>
        <w:t xml:space="preserve">lan, </w:t>
      </w:r>
      <w:r w:rsidR="002F3182">
        <w:rPr>
          <w:szCs w:val="18"/>
        </w:rPr>
        <w:t xml:space="preserve">de </w:t>
      </w:r>
      <w:r w:rsidRPr="005E4531">
        <w:rPr>
          <w:szCs w:val="18"/>
        </w:rPr>
        <w:t>verbeterde jaarrapporten en strategische plannen zijn de prioriteiten</w:t>
      </w:r>
      <w:r w:rsidR="002F3182">
        <w:rPr>
          <w:szCs w:val="18"/>
        </w:rPr>
        <w:t xml:space="preserve"> van OHCHR</w:t>
      </w:r>
      <w:r w:rsidRPr="005E4531">
        <w:rPr>
          <w:szCs w:val="18"/>
        </w:rPr>
        <w:t xml:space="preserve"> inzichtelijker geworden. Tevens sluiten de jaarrapporten</w:t>
      </w:r>
      <w:r w:rsidR="00E25991">
        <w:rPr>
          <w:szCs w:val="18"/>
        </w:rPr>
        <w:t xml:space="preserve"> </w:t>
      </w:r>
      <w:r w:rsidRPr="005E4531">
        <w:rPr>
          <w:szCs w:val="18"/>
        </w:rPr>
        <w:t xml:space="preserve">nu beter aan bij de prioriteiten </w:t>
      </w:r>
      <w:r w:rsidR="00D661C6">
        <w:rPr>
          <w:szCs w:val="18"/>
        </w:rPr>
        <w:t>uit</w:t>
      </w:r>
      <w:r w:rsidRPr="005E4531">
        <w:rPr>
          <w:szCs w:val="18"/>
        </w:rPr>
        <w:t xml:space="preserve"> de strategische plannen.</w:t>
      </w:r>
      <w:r w:rsidRPr="005E4531">
        <w:t xml:space="preserve"> </w:t>
      </w:r>
      <w:r w:rsidR="00834220" w:rsidRPr="005E4531">
        <w:t xml:space="preserve">In het </w:t>
      </w:r>
      <w:r w:rsidR="00885F9E" w:rsidRPr="005E4531">
        <w:t xml:space="preserve">OHCHR </w:t>
      </w:r>
      <w:r w:rsidR="00AA0E58" w:rsidRPr="0082329D">
        <w:rPr>
          <w:i/>
        </w:rPr>
        <w:t>Human Rights Appeal</w:t>
      </w:r>
      <w:r w:rsidR="00834220" w:rsidRPr="005E4531">
        <w:t xml:space="preserve"> 2017</w:t>
      </w:r>
      <w:r w:rsidRPr="005E4531">
        <w:t xml:space="preserve"> worden voorbeelden beschreven van resultaten die in 201</w:t>
      </w:r>
      <w:r w:rsidR="00E25991">
        <w:t>6 zijn behaald, zoals</w:t>
      </w:r>
      <w:r w:rsidR="00834220" w:rsidRPr="005E4531">
        <w:t xml:space="preserve"> de introductie van </w:t>
      </w:r>
      <w:r w:rsidR="00AA0E58" w:rsidRPr="0082329D">
        <w:rPr>
          <w:i/>
        </w:rPr>
        <w:t>Human Rights Indicators</w:t>
      </w:r>
      <w:r w:rsidR="00834220" w:rsidRPr="005E4531">
        <w:t xml:space="preserve"> in Jamaica, Mexico en Paraguay, </w:t>
      </w:r>
      <w:r w:rsidR="00D661C6">
        <w:t xml:space="preserve">de </w:t>
      </w:r>
      <w:r w:rsidR="00834220" w:rsidRPr="005E4531">
        <w:t>aanname</w:t>
      </w:r>
      <w:r w:rsidRPr="005E4531">
        <w:t xml:space="preserve"> van nieuwe wetgeving gericht op </w:t>
      </w:r>
      <w:r w:rsidR="00834220" w:rsidRPr="005E4531">
        <w:t xml:space="preserve">de bescherming van mensenrechtenactivisten in Zuid-Kivu (DRC) en </w:t>
      </w:r>
      <w:r w:rsidR="00D661C6">
        <w:t xml:space="preserve">het </w:t>
      </w:r>
      <w:r w:rsidR="00834220" w:rsidRPr="005E4531">
        <w:t xml:space="preserve">gebruik van OHCHR-methodes in </w:t>
      </w:r>
      <w:r w:rsidR="00885F9E" w:rsidRPr="005E4531">
        <w:t>Servië</w:t>
      </w:r>
      <w:r w:rsidR="00834220" w:rsidRPr="005E4531">
        <w:t xml:space="preserve"> bij het betrekken van Roma</w:t>
      </w:r>
      <w:r w:rsidR="00D661C6">
        <w:t>-</w:t>
      </w:r>
      <w:r w:rsidR="00834220" w:rsidRPr="005E4531">
        <w:t>gemeenschappen bij een Nationaal Actieplan voor inclusiviteit van Roma’s.</w:t>
      </w:r>
    </w:p>
    <w:p w14:paraId="4D974AC0" w14:textId="77777777" w:rsidR="00834220" w:rsidRPr="005E4531" w:rsidRDefault="00834220" w:rsidP="005F4AF2">
      <w:pPr>
        <w:rPr>
          <w:szCs w:val="18"/>
        </w:rPr>
      </w:pPr>
    </w:p>
    <w:p w14:paraId="4D974AC4" w14:textId="303C8D00" w:rsidR="00E602A0" w:rsidRPr="005E4531" w:rsidRDefault="00834220" w:rsidP="005F4AF2">
      <w:pPr>
        <w:rPr>
          <w:szCs w:val="18"/>
        </w:rPr>
      </w:pPr>
      <w:r w:rsidRPr="005E4531">
        <w:rPr>
          <w:szCs w:val="18"/>
        </w:rPr>
        <w:t xml:space="preserve">Volgens </w:t>
      </w:r>
      <w:r w:rsidR="00E602A0" w:rsidRPr="005E4531">
        <w:rPr>
          <w:szCs w:val="18"/>
        </w:rPr>
        <w:t xml:space="preserve">het bovengenoemde </w:t>
      </w:r>
      <w:r w:rsidR="00AA0E58" w:rsidRPr="0082329D">
        <w:rPr>
          <w:i/>
          <w:szCs w:val="18"/>
        </w:rPr>
        <w:t>Change Initiative</w:t>
      </w:r>
      <w:r w:rsidRPr="005E4531">
        <w:rPr>
          <w:szCs w:val="18"/>
        </w:rPr>
        <w:t xml:space="preserve"> zou OHCHR meer autonomie krijgen bij het herstructuren</w:t>
      </w:r>
      <w:r w:rsidR="001120B5" w:rsidRPr="005E4531">
        <w:rPr>
          <w:szCs w:val="18"/>
        </w:rPr>
        <w:t xml:space="preserve"> van regionale kantoren binnen de organisatie. Na veel weerstand </w:t>
      </w:r>
      <w:r w:rsidR="00E602A0" w:rsidRPr="005E4531">
        <w:rPr>
          <w:szCs w:val="18"/>
        </w:rPr>
        <w:t xml:space="preserve">in de AVVN </w:t>
      </w:r>
      <w:r w:rsidR="001120B5" w:rsidRPr="005E4531">
        <w:rPr>
          <w:szCs w:val="18"/>
        </w:rPr>
        <w:t>werd de behandeling</w:t>
      </w:r>
      <w:r w:rsidR="00E602A0" w:rsidRPr="005E4531">
        <w:rPr>
          <w:szCs w:val="18"/>
        </w:rPr>
        <w:t xml:space="preserve"> van het voorstel</w:t>
      </w:r>
      <w:r w:rsidR="001120B5" w:rsidRPr="005E4531">
        <w:rPr>
          <w:szCs w:val="18"/>
        </w:rPr>
        <w:t xml:space="preserve"> doorgeschoven naar de 72</w:t>
      </w:r>
      <w:r w:rsidR="001120B5" w:rsidRPr="005E4531">
        <w:rPr>
          <w:szCs w:val="18"/>
          <w:vertAlign w:val="superscript"/>
        </w:rPr>
        <w:t>ste</w:t>
      </w:r>
      <w:r w:rsidR="001120B5" w:rsidRPr="005E4531">
        <w:rPr>
          <w:szCs w:val="18"/>
        </w:rPr>
        <w:t xml:space="preserve"> zitting van de AVVN</w:t>
      </w:r>
      <w:r w:rsidR="00E602A0" w:rsidRPr="005E4531">
        <w:rPr>
          <w:szCs w:val="18"/>
        </w:rPr>
        <w:t>. R</w:t>
      </w:r>
      <w:r w:rsidR="00885F9E" w:rsidRPr="005E4531">
        <w:rPr>
          <w:szCs w:val="18"/>
        </w:rPr>
        <w:t xml:space="preserve">egeringen </w:t>
      </w:r>
      <w:r w:rsidR="00E602A0" w:rsidRPr="005E4531">
        <w:rPr>
          <w:szCs w:val="18"/>
        </w:rPr>
        <w:t xml:space="preserve">staan </w:t>
      </w:r>
      <w:r w:rsidR="00885F9E" w:rsidRPr="005E4531">
        <w:rPr>
          <w:szCs w:val="18"/>
        </w:rPr>
        <w:t xml:space="preserve">niet altijd open voor versterkte regionale kantoren van OHCHR </w:t>
      </w:r>
      <w:r w:rsidR="00B142FC">
        <w:rPr>
          <w:szCs w:val="18"/>
        </w:rPr>
        <w:t xml:space="preserve">in hun regio. </w:t>
      </w:r>
    </w:p>
    <w:p w14:paraId="2ACFCE40" w14:textId="77777777" w:rsidR="00EF0126" w:rsidRDefault="00EF0126" w:rsidP="00EF0126">
      <w:pPr>
        <w:rPr>
          <w:szCs w:val="18"/>
        </w:rPr>
      </w:pPr>
    </w:p>
    <w:p w14:paraId="3BB34E44" w14:textId="276A8BA4" w:rsidR="00EF0126" w:rsidRPr="005E4531" w:rsidRDefault="00EF0126" w:rsidP="000C7B90">
      <w:pPr>
        <w:ind w:right="-211"/>
        <w:rPr>
          <w:szCs w:val="18"/>
        </w:rPr>
      </w:pPr>
      <w:r w:rsidRPr="005E4531">
        <w:rPr>
          <w:szCs w:val="18"/>
        </w:rPr>
        <w:t xml:space="preserve">OHCHR werkt aan de implementatie van het zogenaamde </w:t>
      </w:r>
      <w:r w:rsidRPr="005E4531">
        <w:rPr>
          <w:i/>
          <w:szCs w:val="18"/>
        </w:rPr>
        <w:t>system-wide reform</w:t>
      </w:r>
      <w:r w:rsidRPr="005E4531">
        <w:rPr>
          <w:szCs w:val="18"/>
        </w:rPr>
        <w:t>, de</w:t>
      </w:r>
      <w:r w:rsidR="000C7B90">
        <w:rPr>
          <w:szCs w:val="18"/>
        </w:rPr>
        <w:t xml:space="preserve"> </w:t>
      </w:r>
      <w:r w:rsidRPr="005E4531">
        <w:rPr>
          <w:i/>
          <w:szCs w:val="18"/>
        </w:rPr>
        <w:t>Delivering as One</w:t>
      </w:r>
      <w:r>
        <w:rPr>
          <w:szCs w:val="18"/>
        </w:rPr>
        <w:t>-</w:t>
      </w:r>
      <w:r w:rsidRPr="005E4531">
        <w:rPr>
          <w:szCs w:val="18"/>
        </w:rPr>
        <w:t xml:space="preserve">agenda en het integreren van mensenrechten in ontwikkelings- en </w:t>
      </w:r>
      <w:r w:rsidR="001B06FD" w:rsidRPr="005E4531">
        <w:rPr>
          <w:szCs w:val="18"/>
        </w:rPr>
        <w:t>humanitaire</w:t>
      </w:r>
      <w:r w:rsidRPr="005E4531">
        <w:rPr>
          <w:szCs w:val="18"/>
        </w:rPr>
        <w:t xml:space="preserve"> programma’s. Een goed voorbeeld hiervan is het doorvoeren van de reorganisatie bekend als het ‘</w:t>
      </w:r>
      <w:r w:rsidRPr="00CA0570">
        <w:rPr>
          <w:i/>
          <w:szCs w:val="18"/>
        </w:rPr>
        <w:t>Change Initiative</w:t>
      </w:r>
      <w:r w:rsidRPr="005E4531">
        <w:rPr>
          <w:szCs w:val="18"/>
        </w:rPr>
        <w:t xml:space="preserve">’, dat binnen het OHCHR gehoor geeft aan de noodzaak van effectiever opereren binnen de VN en het centraal stellen van mensenrechten binnen andere VN-organisaties. Op het OHCHR-hoofdkantoor wordt één afdeling verantwoordelijk voor het geheel aan ondersteuning van verdragscomités voor mensenrechten, de Mensenrechtenraad en de </w:t>
      </w:r>
      <w:r w:rsidRPr="001B06FD">
        <w:rPr>
          <w:i/>
          <w:szCs w:val="18"/>
        </w:rPr>
        <w:t>Universal Periodic Review</w:t>
      </w:r>
      <w:r>
        <w:rPr>
          <w:szCs w:val="18"/>
        </w:rPr>
        <w:t>.</w:t>
      </w:r>
      <w:r w:rsidRPr="005E4531">
        <w:rPr>
          <w:szCs w:val="18"/>
        </w:rPr>
        <w:t xml:space="preserve"> </w:t>
      </w:r>
    </w:p>
    <w:p w14:paraId="68CE56A6" w14:textId="77777777" w:rsidR="00EF0126" w:rsidRPr="005E4531" w:rsidRDefault="00EF0126" w:rsidP="00EF0126">
      <w:pPr>
        <w:rPr>
          <w:szCs w:val="18"/>
        </w:rPr>
      </w:pPr>
    </w:p>
    <w:p w14:paraId="0B325AEF" w14:textId="22B4C3F6" w:rsidR="00EF0126" w:rsidRDefault="00EF0126" w:rsidP="00EF0126">
      <w:pPr>
        <w:rPr>
          <w:szCs w:val="18"/>
        </w:rPr>
      </w:pPr>
      <w:r w:rsidRPr="005E4531">
        <w:rPr>
          <w:szCs w:val="18"/>
        </w:rPr>
        <w:t>Tegelijkertijd betekent de reorganisatie dat meer verantwoordelijkheid komt te liggen bij regionale hubs, die moeten kunnen inspelen op veranderende lokale omstandigheden.</w:t>
      </w:r>
    </w:p>
    <w:p w14:paraId="0BCE70EA" w14:textId="2864BDC8" w:rsidR="00A13B36" w:rsidRDefault="00A13B36" w:rsidP="00EF0126">
      <w:pPr>
        <w:rPr>
          <w:szCs w:val="18"/>
        </w:rPr>
      </w:pPr>
    </w:p>
    <w:p w14:paraId="206F8908" w14:textId="77777777" w:rsidR="00A13B36" w:rsidRPr="005E4531" w:rsidRDefault="00A13B36" w:rsidP="00A13B36">
      <w:pPr>
        <w:rPr>
          <w:szCs w:val="18"/>
        </w:rPr>
      </w:pPr>
      <w:r>
        <w:rPr>
          <w:szCs w:val="18"/>
        </w:rPr>
        <w:t>Projectbeheer en Financieel beheer zijn bij OHCHR op orde, al maakt de OHCHR wel een overstap naar een nieuw systeem. OHCHR werkt nu samen met het VN Secretariaat in New York aan de introductie van ‘Umoja’</w:t>
      </w:r>
      <w:r>
        <w:rPr>
          <w:rStyle w:val="FootnoteReference"/>
          <w:szCs w:val="18"/>
        </w:rPr>
        <w:footnoteReference w:id="4"/>
      </w:r>
      <w:r>
        <w:rPr>
          <w:szCs w:val="18"/>
        </w:rPr>
        <w:t xml:space="preserve">, een management en administratiesysteem die resultaten beter zichtbaar moet maken. </w:t>
      </w:r>
    </w:p>
    <w:p w14:paraId="4D974AC9" w14:textId="77777777" w:rsidR="00443B21" w:rsidRPr="005E4531" w:rsidRDefault="00443B21" w:rsidP="00443B21">
      <w:pPr>
        <w:rPr>
          <w:szCs w:val="22"/>
        </w:rPr>
      </w:pPr>
    </w:p>
    <w:p w14:paraId="7329086C" w14:textId="0045FC00" w:rsidR="00343B4C" w:rsidRDefault="00343B4C" w:rsidP="000C7B90">
      <w:pPr>
        <w:ind w:right="-211"/>
        <w:rPr>
          <w:szCs w:val="18"/>
        </w:rPr>
      </w:pPr>
      <w:r>
        <w:rPr>
          <w:szCs w:val="18"/>
        </w:rPr>
        <w:t>Het f</w:t>
      </w:r>
      <w:r w:rsidRPr="005E4531">
        <w:rPr>
          <w:szCs w:val="18"/>
        </w:rPr>
        <w:t xml:space="preserve">unctioneren van OHCHR zal onder de loep genomen worden in het kader van een nieuwe </w:t>
      </w:r>
      <w:r w:rsidRPr="0082329D">
        <w:rPr>
          <w:i/>
          <w:szCs w:val="18"/>
        </w:rPr>
        <w:t>review</w:t>
      </w:r>
      <w:r w:rsidRPr="005E4531">
        <w:rPr>
          <w:szCs w:val="18"/>
        </w:rPr>
        <w:t xml:space="preserve"> cyclus van MOPAN voor 2017-2018</w:t>
      </w:r>
      <w:r>
        <w:rPr>
          <w:szCs w:val="18"/>
        </w:rPr>
        <w:t>.</w:t>
      </w:r>
      <w:r w:rsidRPr="005E4531">
        <w:rPr>
          <w:szCs w:val="18"/>
        </w:rPr>
        <w:t xml:space="preserve"> </w:t>
      </w:r>
    </w:p>
    <w:p w14:paraId="4D974ACA" w14:textId="432BDD2C" w:rsidR="002A310E" w:rsidRDefault="002A310E" w:rsidP="00326699"/>
    <w:p w14:paraId="04D0AD6A" w14:textId="2C84DA12" w:rsidR="00B142FC" w:rsidRDefault="00B142FC" w:rsidP="00326699"/>
    <w:p w14:paraId="7FAEA1D4" w14:textId="6A656F24" w:rsidR="00B142FC" w:rsidRDefault="00B142FC" w:rsidP="00326699"/>
    <w:p w14:paraId="5065ADB7" w14:textId="09D67EB8" w:rsidR="00B142FC" w:rsidRDefault="00B142FC" w:rsidP="00326699"/>
    <w:p w14:paraId="04C80E46" w14:textId="77777777" w:rsidR="00B142FC" w:rsidRPr="005E4531" w:rsidRDefault="00B142FC" w:rsidP="003266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8"/>
        <w:gridCol w:w="949"/>
      </w:tblGrid>
      <w:tr w:rsidR="005E4531" w:rsidRPr="005E4531" w14:paraId="4D974ACD" w14:textId="77777777" w:rsidTr="00B06CE6">
        <w:tc>
          <w:tcPr>
            <w:tcW w:w="6912" w:type="dxa"/>
            <w:tcBorders>
              <w:top w:val="single" w:sz="12" w:space="0" w:color="auto"/>
              <w:left w:val="single" w:sz="12" w:space="0" w:color="auto"/>
              <w:bottom w:val="single" w:sz="12" w:space="0" w:color="auto"/>
            </w:tcBorders>
            <w:shd w:val="clear" w:color="auto" w:fill="D0CECE"/>
          </w:tcPr>
          <w:p w14:paraId="4D974ACB" w14:textId="77777777" w:rsidR="002A310E" w:rsidRPr="005E4531" w:rsidRDefault="002A310E" w:rsidP="00382AE3">
            <w:pPr>
              <w:rPr>
                <w:b/>
              </w:rPr>
            </w:pPr>
            <w:r w:rsidRPr="005E4531">
              <w:rPr>
                <w:b/>
              </w:rPr>
              <w:lastRenderedPageBreak/>
              <w:t>Onderdeel</w:t>
            </w:r>
          </w:p>
        </w:tc>
        <w:tc>
          <w:tcPr>
            <w:tcW w:w="955" w:type="dxa"/>
            <w:tcBorders>
              <w:top w:val="single" w:sz="12" w:space="0" w:color="auto"/>
              <w:bottom w:val="single" w:sz="12" w:space="0" w:color="auto"/>
              <w:right w:val="single" w:sz="12" w:space="0" w:color="auto"/>
            </w:tcBorders>
            <w:shd w:val="clear" w:color="auto" w:fill="D0CECE"/>
          </w:tcPr>
          <w:p w14:paraId="4D974ACC" w14:textId="77777777" w:rsidR="002A310E" w:rsidRPr="005E4531" w:rsidRDefault="002A310E" w:rsidP="00382AE3">
            <w:pPr>
              <w:rPr>
                <w:b/>
              </w:rPr>
            </w:pPr>
            <w:r w:rsidRPr="005E4531">
              <w:rPr>
                <w:b/>
              </w:rPr>
              <w:t>Score</w:t>
            </w:r>
          </w:p>
        </w:tc>
      </w:tr>
      <w:tr w:rsidR="005E4531" w:rsidRPr="005E4531" w14:paraId="4D974AD0" w14:textId="77777777" w:rsidTr="00382AE3">
        <w:tc>
          <w:tcPr>
            <w:tcW w:w="6912" w:type="dxa"/>
            <w:tcBorders>
              <w:top w:val="single" w:sz="12" w:space="0" w:color="auto"/>
              <w:left w:val="single" w:sz="12" w:space="0" w:color="auto"/>
            </w:tcBorders>
            <w:shd w:val="clear" w:color="auto" w:fill="auto"/>
          </w:tcPr>
          <w:p w14:paraId="4D974ACE" w14:textId="77777777" w:rsidR="002A310E" w:rsidRPr="005E4531" w:rsidRDefault="008A646F" w:rsidP="00382AE3">
            <w:r w:rsidRPr="005E4531">
              <w:t>Delegatie van bevoegdheden</w:t>
            </w:r>
          </w:p>
        </w:tc>
        <w:tc>
          <w:tcPr>
            <w:tcW w:w="955" w:type="dxa"/>
            <w:tcBorders>
              <w:top w:val="single" w:sz="12" w:space="0" w:color="auto"/>
              <w:right w:val="single" w:sz="12" w:space="0" w:color="auto"/>
            </w:tcBorders>
            <w:shd w:val="clear" w:color="auto" w:fill="auto"/>
          </w:tcPr>
          <w:p w14:paraId="4D974ACF" w14:textId="14FF29D2" w:rsidR="002A310E" w:rsidRPr="005E4531" w:rsidRDefault="00CB3BF0" w:rsidP="0082329D">
            <w:pPr>
              <w:tabs>
                <w:tab w:val="left" w:pos="420"/>
              </w:tabs>
            </w:pPr>
            <w:r w:rsidRPr="005E4531">
              <w:t>3</w:t>
            </w:r>
          </w:p>
        </w:tc>
      </w:tr>
      <w:tr w:rsidR="005E4531" w:rsidRPr="005E4531" w14:paraId="4D974AD3" w14:textId="77777777" w:rsidTr="00382AE3">
        <w:tc>
          <w:tcPr>
            <w:tcW w:w="6912" w:type="dxa"/>
            <w:tcBorders>
              <w:left w:val="single" w:sz="12" w:space="0" w:color="auto"/>
            </w:tcBorders>
            <w:shd w:val="clear" w:color="auto" w:fill="auto"/>
          </w:tcPr>
          <w:p w14:paraId="4D974AD1" w14:textId="77777777" w:rsidR="002A310E" w:rsidRPr="005E4531" w:rsidRDefault="008A646F" w:rsidP="00382AE3">
            <w:r w:rsidRPr="005E4531">
              <w:t>Projectbeheer en financieel beheer</w:t>
            </w:r>
          </w:p>
        </w:tc>
        <w:tc>
          <w:tcPr>
            <w:tcW w:w="955" w:type="dxa"/>
            <w:tcBorders>
              <w:right w:val="single" w:sz="12" w:space="0" w:color="auto"/>
            </w:tcBorders>
            <w:shd w:val="clear" w:color="auto" w:fill="auto"/>
          </w:tcPr>
          <w:p w14:paraId="4D974AD2" w14:textId="77777777" w:rsidR="002A310E" w:rsidRPr="005E4531" w:rsidRDefault="00CB3BF0" w:rsidP="00382AE3">
            <w:r w:rsidRPr="005E4531">
              <w:t>4</w:t>
            </w:r>
          </w:p>
        </w:tc>
      </w:tr>
      <w:tr w:rsidR="005E4531" w:rsidRPr="005E4531" w14:paraId="4D974AD6" w14:textId="77777777" w:rsidTr="00382AE3">
        <w:tc>
          <w:tcPr>
            <w:tcW w:w="6912" w:type="dxa"/>
            <w:tcBorders>
              <w:left w:val="single" w:sz="12" w:space="0" w:color="auto"/>
            </w:tcBorders>
            <w:shd w:val="clear" w:color="auto" w:fill="auto"/>
          </w:tcPr>
          <w:p w14:paraId="4D974AD4" w14:textId="77777777" w:rsidR="002A310E" w:rsidRPr="005E4531" w:rsidRDefault="008A646F" w:rsidP="00382AE3">
            <w:r w:rsidRPr="005E4531">
              <w:t>Verantwoordelijkheden en bevoegdheden decentrale kantoren</w:t>
            </w:r>
          </w:p>
        </w:tc>
        <w:tc>
          <w:tcPr>
            <w:tcW w:w="955" w:type="dxa"/>
            <w:tcBorders>
              <w:right w:val="single" w:sz="12" w:space="0" w:color="auto"/>
            </w:tcBorders>
            <w:shd w:val="clear" w:color="auto" w:fill="auto"/>
          </w:tcPr>
          <w:p w14:paraId="4D974AD5" w14:textId="77777777" w:rsidR="002A310E" w:rsidRPr="005E4531" w:rsidRDefault="002E7903" w:rsidP="00382AE3">
            <w:r w:rsidRPr="005E4531">
              <w:t>3</w:t>
            </w:r>
          </w:p>
        </w:tc>
      </w:tr>
      <w:tr w:rsidR="005E4531" w:rsidRPr="005E4531" w14:paraId="4D974AD9" w14:textId="77777777" w:rsidTr="00382AE3">
        <w:tc>
          <w:tcPr>
            <w:tcW w:w="6912" w:type="dxa"/>
            <w:tcBorders>
              <w:left w:val="single" w:sz="12" w:space="0" w:color="auto"/>
              <w:bottom w:val="single" w:sz="12" w:space="0" w:color="auto"/>
            </w:tcBorders>
            <w:shd w:val="clear" w:color="auto" w:fill="auto"/>
          </w:tcPr>
          <w:p w14:paraId="4D974AD7" w14:textId="77777777" w:rsidR="002A310E" w:rsidRPr="005E4531" w:rsidRDefault="008A646F" w:rsidP="00382AE3">
            <w:r w:rsidRPr="005E4531">
              <w:t>Gebruik van lokale partners en systemen</w:t>
            </w:r>
          </w:p>
        </w:tc>
        <w:tc>
          <w:tcPr>
            <w:tcW w:w="955" w:type="dxa"/>
            <w:tcBorders>
              <w:bottom w:val="single" w:sz="12" w:space="0" w:color="auto"/>
              <w:right w:val="single" w:sz="12" w:space="0" w:color="auto"/>
            </w:tcBorders>
            <w:shd w:val="clear" w:color="auto" w:fill="auto"/>
          </w:tcPr>
          <w:p w14:paraId="4D974AD8" w14:textId="77777777" w:rsidR="002A310E" w:rsidRPr="005E4531" w:rsidRDefault="00CB3BF0" w:rsidP="00382AE3">
            <w:r w:rsidRPr="005E4531">
              <w:t>3</w:t>
            </w:r>
          </w:p>
        </w:tc>
      </w:tr>
      <w:tr w:rsidR="005E4531" w:rsidRPr="005E4531" w14:paraId="4D974ADC" w14:textId="77777777" w:rsidTr="00B06CE6">
        <w:tc>
          <w:tcPr>
            <w:tcW w:w="6912" w:type="dxa"/>
            <w:tcBorders>
              <w:top w:val="single" w:sz="12" w:space="0" w:color="auto"/>
              <w:left w:val="single" w:sz="12" w:space="0" w:color="auto"/>
              <w:bottom w:val="single" w:sz="12" w:space="0" w:color="auto"/>
            </w:tcBorders>
            <w:shd w:val="clear" w:color="auto" w:fill="D0CECE"/>
          </w:tcPr>
          <w:p w14:paraId="4D974ADA" w14:textId="77777777" w:rsidR="002A310E" w:rsidRPr="005E4531" w:rsidRDefault="002A310E" w:rsidP="00382AE3">
            <w:pPr>
              <w:rPr>
                <w:b/>
              </w:rPr>
            </w:pPr>
            <w:r w:rsidRPr="005E4531">
              <w:rPr>
                <w:b/>
              </w:rPr>
              <w:t>TOTAAL</w:t>
            </w:r>
          </w:p>
        </w:tc>
        <w:tc>
          <w:tcPr>
            <w:tcW w:w="955" w:type="dxa"/>
            <w:tcBorders>
              <w:top w:val="single" w:sz="12" w:space="0" w:color="auto"/>
              <w:bottom w:val="single" w:sz="12" w:space="0" w:color="auto"/>
              <w:right w:val="single" w:sz="12" w:space="0" w:color="auto"/>
            </w:tcBorders>
            <w:shd w:val="clear" w:color="auto" w:fill="D0CECE"/>
          </w:tcPr>
          <w:p w14:paraId="4D974ADB" w14:textId="7DF4F35F" w:rsidR="002A310E" w:rsidRPr="005E4531" w:rsidRDefault="002E7903" w:rsidP="00504688">
            <w:pPr>
              <w:rPr>
                <w:b/>
              </w:rPr>
            </w:pPr>
            <w:r w:rsidRPr="005E4531">
              <w:rPr>
                <w:b/>
              </w:rPr>
              <w:t>3</w:t>
            </w:r>
          </w:p>
        </w:tc>
      </w:tr>
    </w:tbl>
    <w:p w14:paraId="4D974ADD" w14:textId="77777777" w:rsidR="002A310E" w:rsidRPr="005E4531" w:rsidRDefault="002A310E" w:rsidP="00326699"/>
    <w:p w14:paraId="4D974AE0" w14:textId="77777777" w:rsidR="00504688" w:rsidRPr="00314129" w:rsidRDefault="00504688" w:rsidP="00EB1D2E">
      <w:pPr>
        <w:ind w:firstLine="227"/>
        <w:rPr>
          <w:lang w:val="en-US"/>
        </w:rPr>
      </w:pPr>
      <w:r w:rsidRPr="00314129">
        <w:rPr>
          <w:lang w:val="en-US"/>
        </w:rPr>
        <w:t xml:space="preserve">Verandering sinds 2015: neutraal = </w:t>
      </w:r>
      <w:r w:rsidRPr="00193994">
        <w:sym w:font="Wingdings" w:char="F0E8"/>
      </w:r>
    </w:p>
    <w:p w14:paraId="4D974AE1" w14:textId="77777777" w:rsidR="00E20A86" w:rsidRPr="00314129" w:rsidRDefault="00E20A86" w:rsidP="00E20A86">
      <w:pPr>
        <w:rPr>
          <w:lang w:val="en-US"/>
        </w:rPr>
      </w:pPr>
    </w:p>
    <w:p w14:paraId="4D974AE2" w14:textId="5339EC22" w:rsidR="003A32D7" w:rsidRPr="00314129" w:rsidRDefault="005519BB" w:rsidP="003A32D7">
      <w:pPr>
        <w:pStyle w:val="Heading2"/>
        <w:tabs>
          <w:tab w:val="left" w:pos="-1162"/>
          <w:tab w:val="left" w:pos="0"/>
          <w:tab w:val="num" w:pos="1160"/>
        </w:tabs>
        <w:spacing w:line="240" w:lineRule="auto"/>
        <w:ind w:hanging="1162"/>
        <w:rPr>
          <w:b w:val="0"/>
          <w:lang w:val="en-US"/>
        </w:rPr>
      </w:pPr>
      <w:bookmarkStart w:id="37" w:name="_Toc491259073"/>
      <w:r>
        <w:rPr>
          <w:lang w:val="en-US"/>
        </w:rPr>
        <w:t>4</w:t>
      </w:r>
      <w:r w:rsidR="00E276B2" w:rsidRPr="00314129">
        <w:rPr>
          <w:lang w:val="en-US"/>
        </w:rPr>
        <w:t>.</w:t>
      </w:r>
      <w:r w:rsidR="00A74DEC" w:rsidRPr="00314129">
        <w:rPr>
          <w:lang w:val="en-US"/>
        </w:rPr>
        <w:t>5</w:t>
      </w:r>
      <w:r w:rsidR="00E276B2" w:rsidRPr="00314129">
        <w:rPr>
          <w:lang w:val="en-US"/>
        </w:rPr>
        <w:tab/>
      </w:r>
      <w:r w:rsidR="003A32D7" w:rsidRPr="00314129">
        <w:rPr>
          <w:lang w:val="en-US"/>
        </w:rPr>
        <w:t>Beleidsevaluatie</w:t>
      </w:r>
      <w:bookmarkEnd w:id="37"/>
      <w:r w:rsidR="005F4AF2" w:rsidRPr="00314129">
        <w:rPr>
          <w:lang w:val="en-US"/>
        </w:rPr>
        <w:t xml:space="preserve"> </w:t>
      </w:r>
    </w:p>
    <w:p w14:paraId="4D974AEA" w14:textId="1421C055" w:rsidR="002E7903" w:rsidRDefault="00460824" w:rsidP="000C7B90">
      <w:pPr>
        <w:ind w:right="-211"/>
        <w:rPr>
          <w:szCs w:val="18"/>
        </w:rPr>
      </w:pPr>
      <w:r w:rsidRPr="005E4531">
        <w:rPr>
          <w:szCs w:val="18"/>
          <w:lang w:val="en-US"/>
        </w:rPr>
        <w:t>In 2015 zijn de volgende evaluaties door OHCHR gedaan: 1</w:t>
      </w:r>
      <w:r w:rsidR="00AA0E58" w:rsidRPr="0082329D">
        <w:rPr>
          <w:i/>
          <w:szCs w:val="18"/>
          <w:lang w:val="en-US"/>
        </w:rPr>
        <w:t xml:space="preserve">) </w:t>
      </w:r>
      <w:r w:rsidR="00AA0E58" w:rsidRPr="0082329D">
        <w:rPr>
          <w:rFonts w:cs="Arial"/>
          <w:i/>
          <w:szCs w:val="18"/>
          <w:lang w:val="en-US"/>
        </w:rPr>
        <w:t>Study of the impact of Technical Assistance and Capacity Building on the Human Rights situation in the Democratic Republic of Congo</w:t>
      </w:r>
      <w:r w:rsidRPr="005E4531">
        <w:rPr>
          <w:szCs w:val="18"/>
          <w:lang w:val="en-US"/>
        </w:rPr>
        <w:t xml:space="preserve">, 2) </w:t>
      </w:r>
      <w:r w:rsidR="00AA0E58" w:rsidRPr="0082329D">
        <w:rPr>
          <w:rFonts w:cs="Arial"/>
          <w:i/>
          <w:szCs w:val="18"/>
          <w:lang w:val="en-US"/>
        </w:rPr>
        <w:t>Lessons learned from the project Human Rights Protection in the South of Kyrgyzstan</w:t>
      </w:r>
      <w:r w:rsidRPr="005E4531">
        <w:rPr>
          <w:szCs w:val="18"/>
          <w:lang w:val="en-US"/>
        </w:rPr>
        <w:t xml:space="preserve">, 3) </w:t>
      </w:r>
      <w:r w:rsidR="00AA0E58" w:rsidRPr="0082329D">
        <w:rPr>
          <w:rFonts w:cs="Arial"/>
          <w:i/>
          <w:szCs w:val="18"/>
          <w:lang w:val="en-US"/>
        </w:rPr>
        <w:t>Evaluation of OHCHR support to National Human Rights Institutions</w:t>
      </w:r>
      <w:r w:rsidRPr="005E4531">
        <w:rPr>
          <w:szCs w:val="18"/>
          <w:lang w:val="en-US"/>
        </w:rPr>
        <w:t>, 4)</w:t>
      </w:r>
      <w:r w:rsidRPr="005E4531">
        <w:rPr>
          <w:rFonts w:cs="Arial"/>
          <w:szCs w:val="18"/>
          <w:lang w:val="en-US"/>
        </w:rPr>
        <w:t xml:space="preserve"> </w:t>
      </w:r>
      <w:r w:rsidR="00AA0E58" w:rsidRPr="0082329D">
        <w:rPr>
          <w:rFonts w:cs="Arial"/>
          <w:i/>
          <w:szCs w:val="18"/>
          <w:lang w:val="en-US"/>
        </w:rPr>
        <w:t>Mexico Country Programme Review 2008-2013 (for internal use only)</w:t>
      </w:r>
      <w:r w:rsidRPr="005E4531">
        <w:rPr>
          <w:szCs w:val="18"/>
          <w:lang w:val="en-US"/>
        </w:rPr>
        <w:t>, 5)</w:t>
      </w:r>
      <w:r w:rsidRPr="005E4531">
        <w:rPr>
          <w:rFonts w:cs="Arial"/>
          <w:szCs w:val="18"/>
          <w:lang w:val="en-US"/>
        </w:rPr>
        <w:t xml:space="preserve"> </w:t>
      </w:r>
      <w:r w:rsidR="00AA0E58" w:rsidRPr="0082329D">
        <w:rPr>
          <w:rFonts w:cs="Arial"/>
          <w:i/>
          <w:szCs w:val="18"/>
          <w:lang w:val="en-US"/>
        </w:rPr>
        <w:t>Evaluation of OHCHR Project Combating Discrimination in Moldova</w:t>
      </w:r>
      <w:r w:rsidRPr="005E4531">
        <w:rPr>
          <w:szCs w:val="18"/>
          <w:lang w:val="en-US"/>
        </w:rPr>
        <w:t xml:space="preserve">, 6) </w:t>
      </w:r>
      <w:r w:rsidR="00AA0E58" w:rsidRPr="0082329D">
        <w:rPr>
          <w:rFonts w:cs="Arial"/>
          <w:i/>
          <w:szCs w:val="18"/>
          <w:lang w:val="en-US"/>
        </w:rPr>
        <w:t>Evaluation of the project Building Capacities for Human Rights Monitoring Protection and Advocacy in Tajikistan</w:t>
      </w:r>
      <w:r w:rsidR="007F462B" w:rsidRPr="005E4531">
        <w:rPr>
          <w:rFonts w:cs="Arial"/>
          <w:szCs w:val="18"/>
          <w:lang w:val="en-US"/>
        </w:rPr>
        <w:t>.</w:t>
      </w:r>
      <w:r w:rsidRPr="005E4531">
        <w:rPr>
          <w:szCs w:val="18"/>
          <w:lang w:val="en-US"/>
        </w:rPr>
        <w:t xml:space="preserve"> </w:t>
      </w:r>
      <w:r w:rsidR="00462139" w:rsidRPr="005E4531">
        <w:rPr>
          <w:szCs w:val="18"/>
        </w:rPr>
        <w:t>Alle e</w:t>
      </w:r>
      <w:r w:rsidRPr="005E4531">
        <w:rPr>
          <w:szCs w:val="18"/>
        </w:rPr>
        <w:t xml:space="preserve">valuaties zijn te vinden op de </w:t>
      </w:r>
      <w:r w:rsidR="001B06FD" w:rsidRPr="005E4531">
        <w:rPr>
          <w:szCs w:val="18"/>
        </w:rPr>
        <w:t>OHCHR-website</w:t>
      </w:r>
      <w:r w:rsidR="007F125E">
        <w:rPr>
          <w:szCs w:val="18"/>
        </w:rPr>
        <w:t>.</w:t>
      </w:r>
      <w:r w:rsidRPr="005E4531">
        <w:rPr>
          <w:szCs w:val="18"/>
        </w:rPr>
        <w:t xml:space="preserve"> </w:t>
      </w:r>
      <w:r w:rsidR="002E7903" w:rsidRPr="005E4531">
        <w:rPr>
          <w:szCs w:val="18"/>
        </w:rPr>
        <w:t>Daarnaast is 86</w:t>
      </w:r>
      <w:r w:rsidR="00277205">
        <w:rPr>
          <w:szCs w:val="18"/>
        </w:rPr>
        <w:t>%</w:t>
      </w:r>
      <w:r w:rsidR="002E7903" w:rsidRPr="005E4531">
        <w:rPr>
          <w:szCs w:val="18"/>
        </w:rPr>
        <w:t xml:space="preserve"> van </w:t>
      </w:r>
      <w:r w:rsidR="002E7903" w:rsidRPr="005E4531">
        <w:rPr>
          <w:i/>
          <w:szCs w:val="18"/>
        </w:rPr>
        <w:t>Global Management Output 3</w:t>
      </w:r>
      <w:r w:rsidR="002E7903" w:rsidRPr="005E4531">
        <w:rPr>
          <w:szCs w:val="18"/>
        </w:rPr>
        <w:t xml:space="preserve"> (integratie van genderperspectief in bele</w:t>
      </w:r>
      <w:r w:rsidR="001158E8" w:rsidRPr="005E4531">
        <w:rPr>
          <w:szCs w:val="18"/>
        </w:rPr>
        <w:t>id, programma’s en processen)</w:t>
      </w:r>
      <w:r w:rsidR="002E7903" w:rsidRPr="005E4531">
        <w:rPr>
          <w:szCs w:val="18"/>
        </w:rPr>
        <w:t xml:space="preserve"> behaald in 2015.</w:t>
      </w:r>
      <w:r w:rsidR="000C7B90">
        <w:rPr>
          <w:szCs w:val="18"/>
        </w:rPr>
        <w:t xml:space="preserve"> </w:t>
      </w:r>
    </w:p>
    <w:p w14:paraId="6ABFE33E" w14:textId="09B740B8" w:rsidR="005A48FD" w:rsidRDefault="005A48FD" w:rsidP="002E7903">
      <w:pPr>
        <w:rPr>
          <w:szCs w:val="18"/>
        </w:rPr>
      </w:pPr>
    </w:p>
    <w:p w14:paraId="563A8FAF" w14:textId="5CCCD581" w:rsidR="00A62BB8" w:rsidRPr="00A1262F" w:rsidRDefault="005A48FD" w:rsidP="000C7B90">
      <w:pPr>
        <w:ind w:right="-211"/>
        <w:rPr>
          <w:i/>
          <w:szCs w:val="18"/>
        </w:rPr>
      </w:pPr>
      <w:r w:rsidRPr="00A1262F">
        <w:rPr>
          <w:szCs w:val="18"/>
        </w:rPr>
        <w:t>De beleidsevaluaties worden uitgevoerd door externe consultants in samenwerking met de Service ‘</w:t>
      </w:r>
      <w:r w:rsidRPr="00A1262F">
        <w:rPr>
          <w:i/>
          <w:szCs w:val="18"/>
        </w:rPr>
        <w:t>Policy, planning, monitoring and evaluation’</w:t>
      </w:r>
      <w:r w:rsidRPr="00A1262F">
        <w:rPr>
          <w:szCs w:val="18"/>
        </w:rPr>
        <w:t>. De consultants hebben uiteraard geen enkele betrokkenheid bij het beleid dat wordt geëvalueerd.</w:t>
      </w:r>
      <w:r w:rsidR="000C7B90">
        <w:rPr>
          <w:szCs w:val="18"/>
        </w:rPr>
        <w:t xml:space="preserve"> </w:t>
      </w:r>
      <w:r w:rsidRPr="00A1262F">
        <w:rPr>
          <w:szCs w:val="18"/>
        </w:rPr>
        <w:t>Voor elke evaluatie wordt een ‘</w:t>
      </w:r>
      <w:r w:rsidRPr="00A1262F">
        <w:rPr>
          <w:i/>
          <w:szCs w:val="18"/>
        </w:rPr>
        <w:t>reference group’</w:t>
      </w:r>
      <w:r w:rsidRPr="00A1262F">
        <w:rPr>
          <w:szCs w:val="18"/>
        </w:rPr>
        <w:t xml:space="preserve"> opgezet die wordt samengesteld uit vertegenwoord</w:t>
      </w:r>
      <w:r w:rsidR="00AF7F5D" w:rsidRPr="00A1262F">
        <w:rPr>
          <w:szCs w:val="18"/>
        </w:rPr>
        <w:t>igers van de betrokken partijen,</w:t>
      </w:r>
      <w:r w:rsidRPr="00A1262F">
        <w:rPr>
          <w:szCs w:val="18"/>
        </w:rPr>
        <w:t xml:space="preserve"> </w:t>
      </w:r>
      <w:r w:rsidR="00AF7F5D" w:rsidRPr="00A1262F">
        <w:rPr>
          <w:szCs w:val="18"/>
        </w:rPr>
        <w:t>d</w:t>
      </w:r>
      <w:r w:rsidRPr="00A1262F">
        <w:rPr>
          <w:szCs w:val="18"/>
        </w:rPr>
        <w:t>eze ‘</w:t>
      </w:r>
      <w:r w:rsidRPr="00A1262F">
        <w:rPr>
          <w:i/>
          <w:szCs w:val="18"/>
        </w:rPr>
        <w:t>reference groups’</w:t>
      </w:r>
      <w:r w:rsidR="000C7B90">
        <w:rPr>
          <w:szCs w:val="18"/>
        </w:rPr>
        <w:t xml:space="preserve"> </w:t>
      </w:r>
      <w:r w:rsidRPr="00A1262F">
        <w:rPr>
          <w:szCs w:val="18"/>
        </w:rPr>
        <w:t>spelen een adviserende rol. Zodra een evaluatie is afgerond worden de resultaten gepubliceerd op</w:t>
      </w:r>
      <w:r w:rsidR="00AF7F5D" w:rsidRPr="00A1262F">
        <w:rPr>
          <w:szCs w:val="18"/>
        </w:rPr>
        <w:t xml:space="preserve"> de OHCHR en UNEG website. Daarnaast volgt er een follow-up actie plan (met de voorgenomen activiteiten en een tijdlijn). Dit plan wordt ter goedkeuring voorgelegd aan de </w:t>
      </w:r>
      <w:r w:rsidR="00AF7F5D" w:rsidRPr="00A1262F">
        <w:rPr>
          <w:i/>
          <w:szCs w:val="18"/>
        </w:rPr>
        <w:t>‘Programme and Budget Review Board’</w:t>
      </w:r>
      <w:r w:rsidR="00AF7F5D" w:rsidRPr="00A1262F">
        <w:rPr>
          <w:szCs w:val="18"/>
        </w:rPr>
        <w:t>. Vervolgens wordt de implementatie van het actieplan elke zes maanden gecontroleerd. In 2017 is een meta-analyse van de resultaten van de evaluaties meegenomen in voor de voorbereiding van het OHCHR management plan 2018-2021.</w:t>
      </w:r>
    </w:p>
    <w:p w14:paraId="415C278C" w14:textId="5C1370E1" w:rsidR="005A48FD" w:rsidRDefault="005A48FD" w:rsidP="002E7903">
      <w:pPr>
        <w:rPr>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8"/>
        <w:gridCol w:w="949"/>
      </w:tblGrid>
      <w:tr w:rsidR="005E4531" w:rsidRPr="005E4531" w14:paraId="4D974AF3" w14:textId="77777777" w:rsidTr="00906D06">
        <w:tc>
          <w:tcPr>
            <w:tcW w:w="6748" w:type="dxa"/>
            <w:tcBorders>
              <w:top w:val="single" w:sz="12" w:space="0" w:color="auto"/>
              <w:left w:val="single" w:sz="12" w:space="0" w:color="auto"/>
              <w:bottom w:val="single" w:sz="12" w:space="0" w:color="auto"/>
            </w:tcBorders>
            <w:shd w:val="clear" w:color="auto" w:fill="D0CECE"/>
          </w:tcPr>
          <w:p w14:paraId="4D974AF1" w14:textId="77777777" w:rsidR="002A310E" w:rsidRPr="005E4531" w:rsidRDefault="002A310E" w:rsidP="00382AE3">
            <w:pPr>
              <w:rPr>
                <w:b/>
              </w:rPr>
            </w:pPr>
            <w:r w:rsidRPr="005E4531">
              <w:rPr>
                <w:b/>
              </w:rPr>
              <w:t>Onderdeel</w:t>
            </w:r>
          </w:p>
        </w:tc>
        <w:tc>
          <w:tcPr>
            <w:tcW w:w="949" w:type="dxa"/>
            <w:tcBorders>
              <w:top w:val="single" w:sz="12" w:space="0" w:color="auto"/>
              <w:bottom w:val="single" w:sz="12" w:space="0" w:color="auto"/>
              <w:right w:val="single" w:sz="12" w:space="0" w:color="auto"/>
            </w:tcBorders>
            <w:shd w:val="clear" w:color="auto" w:fill="D0CECE"/>
          </w:tcPr>
          <w:p w14:paraId="4D974AF2" w14:textId="77777777" w:rsidR="002A310E" w:rsidRPr="005E4531" w:rsidRDefault="002A310E" w:rsidP="00382AE3">
            <w:pPr>
              <w:rPr>
                <w:b/>
              </w:rPr>
            </w:pPr>
            <w:r w:rsidRPr="005E4531">
              <w:rPr>
                <w:b/>
              </w:rPr>
              <w:t>Score</w:t>
            </w:r>
          </w:p>
        </w:tc>
      </w:tr>
      <w:tr w:rsidR="005E4531" w:rsidRPr="005E4531" w14:paraId="4D974AF6" w14:textId="77777777" w:rsidTr="00906D06">
        <w:tc>
          <w:tcPr>
            <w:tcW w:w="6748" w:type="dxa"/>
            <w:tcBorders>
              <w:top w:val="single" w:sz="12" w:space="0" w:color="auto"/>
              <w:left w:val="single" w:sz="12" w:space="0" w:color="auto"/>
            </w:tcBorders>
            <w:shd w:val="clear" w:color="auto" w:fill="auto"/>
          </w:tcPr>
          <w:p w14:paraId="4D974AF4" w14:textId="77777777" w:rsidR="002A310E" w:rsidRPr="005E4531" w:rsidRDefault="008A646F" w:rsidP="00382AE3">
            <w:r w:rsidRPr="005E4531">
              <w:t>Helder vastgelegd evaluatiebeleid</w:t>
            </w:r>
          </w:p>
        </w:tc>
        <w:tc>
          <w:tcPr>
            <w:tcW w:w="949" w:type="dxa"/>
            <w:tcBorders>
              <w:top w:val="single" w:sz="12" w:space="0" w:color="auto"/>
              <w:right w:val="single" w:sz="12" w:space="0" w:color="auto"/>
            </w:tcBorders>
            <w:shd w:val="clear" w:color="auto" w:fill="auto"/>
          </w:tcPr>
          <w:p w14:paraId="4D974AF5" w14:textId="77777777" w:rsidR="002A310E" w:rsidRPr="005E4531" w:rsidRDefault="00885F9E" w:rsidP="00382AE3">
            <w:r w:rsidRPr="005E4531">
              <w:t>3</w:t>
            </w:r>
          </w:p>
        </w:tc>
      </w:tr>
      <w:tr w:rsidR="005E4531" w:rsidRPr="005E4531" w14:paraId="4D974AF9" w14:textId="77777777" w:rsidTr="00906D06">
        <w:tc>
          <w:tcPr>
            <w:tcW w:w="6748" w:type="dxa"/>
            <w:tcBorders>
              <w:left w:val="single" w:sz="12" w:space="0" w:color="auto"/>
            </w:tcBorders>
            <w:shd w:val="clear" w:color="auto" w:fill="auto"/>
          </w:tcPr>
          <w:p w14:paraId="4D974AF7" w14:textId="77777777" w:rsidR="002A310E" w:rsidRPr="005E4531" w:rsidRDefault="008A646F" w:rsidP="00382AE3">
            <w:r w:rsidRPr="005E4531">
              <w:t>Inrichting evaluatiefunctie</w:t>
            </w:r>
          </w:p>
        </w:tc>
        <w:tc>
          <w:tcPr>
            <w:tcW w:w="949" w:type="dxa"/>
            <w:tcBorders>
              <w:right w:val="single" w:sz="12" w:space="0" w:color="auto"/>
            </w:tcBorders>
            <w:shd w:val="clear" w:color="auto" w:fill="auto"/>
          </w:tcPr>
          <w:p w14:paraId="4D974AF8" w14:textId="77777777" w:rsidR="002A310E" w:rsidRPr="005E4531" w:rsidRDefault="00885F9E" w:rsidP="00382AE3">
            <w:r w:rsidRPr="005E4531">
              <w:t>3</w:t>
            </w:r>
          </w:p>
        </w:tc>
      </w:tr>
      <w:tr w:rsidR="005E4531" w:rsidRPr="005E4531" w14:paraId="4D974AFC" w14:textId="77777777" w:rsidTr="00906D06">
        <w:tc>
          <w:tcPr>
            <w:tcW w:w="6748" w:type="dxa"/>
            <w:tcBorders>
              <w:left w:val="single" w:sz="12" w:space="0" w:color="auto"/>
            </w:tcBorders>
            <w:shd w:val="clear" w:color="auto" w:fill="auto"/>
          </w:tcPr>
          <w:p w14:paraId="4D974AFA" w14:textId="77777777" w:rsidR="002A310E" w:rsidRPr="005E4531" w:rsidRDefault="008A646F" w:rsidP="00382AE3">
            <w:r w:rsidRPr="005E4531">
              <w:t>Onafhankelijkheid eval</w:t>
            </w:r>
            <w:r w:rsidR="00537DB3" w:rsidRPr="005E4531">
              <w:t>uatie-</w:t>
            </w:r>
            <w:r w:rsidRPr="005E4531">
              <w:t>eenheid</w:t>
            </w:r>
          </w:p>
        </w:tc>
        <w:tc>
          <w:tcPr>
            <w:tcW w:w="949" w:type="dxa"/>
            <w:tcBorders>
              <w:right w:val="single" w:sz="12" w:space="0" w:color="auto"/>
            </w:tcBorders>
            <w:shd w:val="clear" w:color="auto" w:fill="auto"/>
          </w:tcPr>
          <w:p w14:paraId="4D974AFB" w14:textId="77777777" w:rsidR="002A310E" w:rsidRPr="005E4531" w:rsidRDefault="00885F9E" w:rsidP="00382AE3">
            <w:r w:rsidRPr="005E4531">
              <w:t>3</w:t>
            </w:r>
          </w:p>
        </w:tc>
      </w:tr>
      <w:tr w:rsidR="005E4531" w:rsidRPr="005E4531" w14:paraId="4D974AFF" w14:textId="77777777" w:rsidTr="00906D06">
        <w:tc>
          <w:tcPr>
            <w:tcW w:w="6748" w:type="dxa"/>
            <w:tcBorders>
              <w:left w:val="single" w:sz="12" w:space="0" w:color="auto"/>
            </w:tcBorders>
            <w:shd w:val="clear" w:color="auto" w:fill="auto"/>
          </w:tcPr>
          <w:p w14:paraId="4D974AFD" w14:textId="77777777" w:rsidR="00AA4C2B" w:rsidRPr="005E4531" w:rsidRDefault="00AA4C2B" w:rsidP="00382AE3">
            <w:r w:rsidRPr="005E4531">
              <w:t>Reikwijdte en relevantie evaluaties</w:t>
            </w:r>
          </w:p>
        </w:tc>
        <w:tc>
          <w:tcPr>
            <w:tcW w:w="949" w:type="dxa"/>
            <w:tcBorders>
              <w:right w:val="single" w:sz="12" w:space="0" w:color="auto"/>
            </w:tcBorders>
            <w:shd w:val="clear" w:color="auto" w:fill="auto"/>
          </w:tcPr>
          <w:p w14:paraId="4D974AFE" w14:textId="77777777" w:rsidR="00AA4C2B" w:rsidRPr="005E4531" w:rsidRDefault="00885F9E" w:rsidP="00382AE3">
            <w:r w:rsidRPr="005E4531">
              <w:t>3</w:t>
            </w:r>
          </w:p>
        </w:tc>
      </w:tr>
      <w:tr w:rsidR="005E4531" w:rsidRPr="005E4531" w14:paraId="4D974B02" w14:textId="77777777" w:rsidTr="00906D06">
        <w:tc>
          <w:tcPr>
            <w:tcW w:w="6748" w:type="dxa"/>
            <w:tcBorders>
              <w:left w:val="single" w:sz="12" w:space="0" w:color="auto"/>
              <w:bottom w:val="single" w:sz="12" w:space="0" w:color="auto"/>
            </w:tcBorders>
            <w:shd w:val="clear" w:color="auto" w:fill="auto"/>
          </w:tcPr>
          <w:p w14:paraId="4D974B00" w14:textId="77777777" w:rsidR="002A310E" w:rsidRPr="005E4531" w:rsidRDefault="008A646F" w:rsidP="00382AE3">
            <w:r w:rsidRPr="005E4531">
              <w:t>Follow up aanbevelingen evaluaties</w:t>
            </w:r>
          </w:p>
        </w:tc>
        <w:tc>
          <w:tcPr>
            <w:tcW w:w="949" w:type="dxa"/>
            <w:tcBorders>
              <w:bottom w:val="single" w:sz="12" w:space="0" w:color="auto"/>
              <w:right w:val="single" w:sz="12" w:space="0" w:color="auto"/>
            </w:tcBorders>
            <w:shd w:val="clear" w:color="auto" w:fill="auto"/>
          </w:tcPr>
          <w:p w14:paraId="4D974B01" w14:textId="77777777" w:rsidR="002A310E" w:rsidRPr="005E4531" w:rsidRDefault="00885F9E" w:rsidP="00382AE3">
            <w:r w:rsidRPr="005E4531">
              <w:t>3</w:t>
            </w:r>
          </w:p>
        </w:tc>
      </w:tr>
      <w:tr w:rsidR="005E4531" w:rsidRPr="005E4531" w14:paraId="4D974B05" w14:textId="77777777" w:rsidTr="00906D06">
        <w:tc>
          <w:tcPr>
            <w:tcW w:w="6748" w:type="dxa"/>
            <w:tcBorders>
              <w:top w:val="single" w:sz="12" w:space="0" w:color="auto"/>
              <w:left w:val="single" w:sz="12" w:space="0" w:color="auto"/>
              <w:bottom w:val="single" w:sz="12" w:space="0" w:color="auto"/>
            </w:tcBorders>
            <w:shd w:val="clear" w:color="auto" w:fill="D0CECE"/>
          </w:tcPr>
          <w:p w14:paraId="4D974B03" w14:textId="77777777" w:rsidR="002A310E" w:rsidRPr="005E4531" w:rsidRDefault="002A310E" w:rsidP="00382AE3">
            <w:pPr>
              <w:rPr>
                <w:b/>
              </w:rPr>
            </w:pPr>
            <w:r w:rsidRPr="005E4531">
              <w:rPr>
                <w:b/>
              </w:rPr>
              <w:t>TOTAAL</w:t>
            </w:r>
          </w:p>
        </w:tc>
        <w:tc>
          <w:tcPr>
            <w:tcW w:w="949" w:type="dxa"/>
            <w:tcBorders>
              <w:top w:val="single" w:sz="12" w:space="0" w:color="auto"/>
              <w:bottom w:val="single" w:sz="12" w:space="0" w:color="auto"/>
              <w:right w:val="single" w:sz="12" w:space="0" w:color="auto"/>
            </w:tcBorders>
            <w:shd w:val="clear" w:color="auto" w:fill="D0CECE"/>
          </w:tcPr>
          <w:p w14:paraId="4D974B04" w14:textId="41FDD875" w:rsidR="002A310E" w:rsidRPr="005E4531" w:rsidRDefault="005066D1" w:rsidP="00504688">
            <w:pPr>
              <w:rPr>
                <w:b/>
              </w:rPr>
            </w:pPr>
            <w:r w:rsidRPr="005E4531">
              <w:rPr>
                <w:b/>
              </w:rPr>
              <w:t>3</w:t>
            </w:r>
          </w:p>
        </w:tc>
      </w:tr>
    </w:tbl>
    <w:p w14:paraId="4D974B06" w14:textId="77777777" w:rsidR="002A310E" w:rsidRPr="005E4531" w:rsidRDefault="002A310E" w:rsidP="00326699"/>
    <w:p w14:paraId="4D974B09" w14:textId="77777777" w:rsidR="00504688" w:rsidRDefault="00504688" w:rsidP="00906D06">
      <w:pPr>
        <w:ind w:firstLine="227"/>
      </w:pPr>
      <w:r w:rsidRPr="00193994">
        <w:t>Verandering</w:t>
      </w:r>
      <w:r>
        <w:t xml:space="preserve"> sinds 2015: neutraal</w:t>
      </w:r>
      <w:r w:rsidRPr="00193994">
        <w:t xml:space="preserve"> = </w:t>
      </w:r>
      <w:r w:rsidRPr="00193994">
        <w:sym w:font="Wingdings" w:char="F0E8"/>
      </w:r>
    </w:p>
    <w:p w14:paraId="4D974B0A" w14:textId="77777777" w:rsidR="00E20A86" w:rsidRPr="005E4531" w:rsidRDefault="00E20A86" w:rsidP="00E20A86"/>
    <w:p w14:paraId="4D974B0B" w14:textId="71629B81" w:rsidR="00DE343C" w:rsidRPr="005E4531" w:rsidRDefault="00906D06" w:rsidP="004D372F">
      <w:pPr>
        <w:pStyle w:val="Heading2"/>
        <w:tabs>
          <w:tab w:val="left" w:pos="-1162"/>
          <w:tab w:val="left" w:pos="0"/>
          <w:tab w:val="num" w:pos="1160"/>
        </w:tabs>
        <w:spacing w:line="240" w:lineRule="auto"/>
        <w:ind w:hanging="1162"/>
      </w:pPr>
      <w:bookmarkStart w:id="38" w:name="_Toc348364671"/>
      <w:bookmarkStart w:id="39" w:name="_Toc491259074"/>
      <w:r>
        <w:t>4</w:t>
      </w:r>
      <w:r w:rsidR="004D372F" w:rsidRPr="005E4531">
        <w:t>.</w:t>
      </w:r>
      <w:r w:rsidR="00A74DEC" w:rsidRPr="005E4531">
        <w:t>6</w:t>
      </w:r>
      <w:r w:rsidR="004D372F" w:rsidRPr="005E4531">
        <w:tab/>
      </w:r>
      <w:r w:rsidR="00DE343C" w:rsidRPr="005E4531">
        <w:t>Human Resource Management</w:t>
      </w:r>
      <w:bookmarkEnd w:id="38"/>
      <w:bookmarkEnd w:id="39"/>
      <w:r w:rsidR="005F4AF2" w:rsidRPr="005E4531">
        <w:t xml:space="preserve"> </w:t>
      </w:r>
    </w:p>
    <w:p w14:paraId="4D974B0D" w14:textId="7E67EA45" w:rsidR="005F4AF2" w:rsidRPr="005E4531" w:rsidRDefault="005F4AF2" w:rsidP="000C7B90">
      <w:pPr>
        <w:ind w:right="-211"/>
      </w:pPr>
      <w:r w:rsidRPr="005E4531">
        <w:t xml:space="preserve">Voor OHCHR geldt dat de HRM-strategie van het Internationaal VN-secretariaat van toepassing is. </w:t>
      </w:r>
      <w:r w:rsidR="006F6DB3" w:rsidRPr="005E4531">
        <w:t xml:space="preserve">De laatste jaren is er bijzonder aandacht voor het bevorderen van mobiliteit en het verbeteren van de genderbalans. Het </w:t>
      </w:r>
      <w:r w:rsidR="009034D2">
        <w:t xml:space="preserve">Strategisch </w:t>
      </w:r>
      <w:r w:rsidR="006F6DB3" w:rsidRPr="005E4531">
        <w:t>Management Plan zet ambitieuze en meetbare doelen voor het versterken van de positie van vrouwen in de organisatie.</w:t>
      </w:r>
      <w:r w:rsidR="007F462B" w:rsidRPr="005E4531">
        <w:t xml:space="preserve"> </w:t>
      </w:r>
      <w:r w:rsidRPr="005E4531">
        <w:t xml:space="preserve">Het algemene VN-systeem voor salarissen en secundaire arbeidsvoorwaarden wordt toegepast. </w:t>
      </w:r>
    </w:p>
    <w:p w14:paraId="4D974B0E" w14:textId="77777777" w:rsidR="005F4AF2" w:rsidRPr="005E4531" w:rsidRDefault="005F4AF2" w:rsidP="005F4AF2"/>
    <w:p w14:paraId="4D974B0F" w14:textId="77777777" w:rsidR="005F4AF2" w:rsidRPr="005E4531" w:rsidRDefault="005F4AF2" w:rsidP="005F4AF2">
      <w:r w:rsidRPr="005E4531">
        <w:lastRenderedPageBreak/>
        <w:t xml:space="preserve">Door sommige landen is kritiek geuit op de regionale samenstelling van OHCHR-personeel, waarbij werd gesteld dat het Westen oververtegenwoordigd zou zijn. De uitdaging blijft om de meest geschikte kandidaat te kiezen en hierbij zorg te dragen voor voldoende regionale balans. Daarbij moet worden opgemerkt dat de landenquota voor personeel die het VN-secretariaat hanteert </w:t>
      </w:r>
      <w:r w:rsidRPr="005E4531">
        <w:rPr>
          <w:i/>
        </w:rPr>
        <w:t>across the board</w:t>
      </w:r>
      <w:r w:rsidRPr="005E4531">
        <w:t xml:space="preserve"> gelden. Dit wil zeggen dat landen die ondervertegenwoordigd zijn binnen OHCHR, soms beter vertegenwoordigd zijn binnen een ander onderdeel van het Internationaal Secretariaat. </w:t>
      </w:r>
    </w:p>
    <w:p w14:paraId="4D974B10" w14:textId="77777777" w:rsidR="002A038E" w:rsidRPr="005E4531" w:rsidRDefault="002A038E" w:rsidP="005F4AF2"/>
    <w:p w14:paraId="4D974B11" w14:textId="3310B7BC" w:rsidR="002A038E" w:rsidRPr="005E4531" w:rsidRDefault="002A038E" w:rsidP="000C7B90">
      <w:pPr>
        <w:ind w:right="-211"/>
      </w:pPr>
      <w:r w:rsidRPr="005E4531">
        <w:t>OHCHR zet momenteel sterk in op verbeterde mobiliteit binnen de organisatie. De gedachte is dat het goed zou zijn voor personeel om vaker van functie te wisselen en op hoofdkantoor en veldkantoren te werken</w:t>
      </w:r>
      <w:r w:rsidR="007F462B" w:rsidRPr="005E4531">
        <w:t>.</w:t>
      </w:r>
      <w:r w:rsidRPr="005E4531">
        <w:t xml:space="preserve"> </w:t>
      </w:r>
    </w:p>
    <w:p w14:paraId="4D974B12" w14:textId="77777777" w:rsidR="002A038E" w:rsidRPr="005E4531" w:rsidRDefault="002A038E" w:rsidP="005F4AF2"/>
    <w:p w14:paraId="4D974B13" w14:textId="77777777" w:rsidR="002A038E" w:rsidRPr="005E4531" w:rsidRDefault="002A038E" w:rsidP="005F4AF2">
      <w:r w:rsidRPr="005E4531">
        <w:t>Binnen OHCHR gaat zorg vaak uit naar gebrek aan personeel en hoge werkdruk van personeelsleden.</w:t>
      </w:r>
      <w:r w:rsidR="006708D3" w:rsidRPr="005E4531">
        <w:t xml:space="preserve"> OHCHR geeft aan het budget niet te hebben om extra personeel aan te nemen. </w:t>
      </w:r>
    </w:p>
    <w:p w14:paraId="4D974B14" w14:textId="77777777" w:rsidR="005F4AF2" w:rsidRPr="005E4531" w:rsidRDefault="005F4AF2" w:rsidP="005F4AF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7"/>
        <w:gridCol w:w="950"/>
      </w:tblGrid>
      <w:tr w:rsidR="005E4531" w:rsidRPr="005E4531" w14:paraId="4D974B1A" w14:textId="77777777" w:rsidTr="00906D06">
        <w:tc>
          <w:tcPr>
            <w:tcW w:w="6747" w:type="dxa"/>
            <w:tcBorders>
              <w:top w:val="single" w:sz="12" w:space="0" w:color="auto"/>
              <w:left w:val="single" w:sz="12" w:space="0" w:color="auto"/>
              <w:bottom w:val="single" w:sz="12" w:space="0" w:color="auto"/>
            </w:tcBorders>
            <w:shd w:val="clear" w:color="auto" w:fill="D0CECE"/>
          </w:tcPr>
          <w:p w14:paraId="4D974B18" w14:textId="77777777" w:rsidR="002A310E" w:rsidRPr="005E4531" w:rsidRDefault="002A310E" w:rsidP="00382AE3">
            <w:pPr>
              <w:rPr>
                <w:b/>
              </w:rPr>
            </w:pPr>
            <w:r w:rsidRPr="005E4531">
              <w:rPr>
                <w:b/>
              </w:rPr>
              <w:t>Onderdeel</w:t>
            </w:r>
          </w:p>
        </w:tc>
        <w:tc>
          <w:tcPr>
            <w:tcW w:w="950" w:type="dxa"/>
            <w:tcBorders>
              <w:top w:val="single" w:sz="12" w:space="0" w:color="auto"/>
              <w:bottom w:val="single" w:sz="12" w:space="0" w:color="auto"/>
              <w:right w:val="single" w:sz="12" w:space="0" w:color="auto"/>
            </w:tcBorders>
            <w:shd w:val="clear" w:color="auto" w:fill="D0CECE"/>
          </w:tcPr>
          <w:p w14:paraId="4D974B19" w14:textId="77777777" w:rsidR="002A310E" w:rsidRPr="005E4531" w:rsidRDefault="002A310E" w:rsidP="00382AE3">
            <w:pPr>
              <w:rPr>
                <w:b/>
              </w:rPr>
            </w:pPr>
            <w:r w:rsidRPr="005E4531">
              <w:rPr>
                <w:b/>
              </w:rPr>
              <w:t>Score</w:t>
            </w:r>
          </w:p>
        </w:tc>
      </w:tr>
      <w:tr w:rsidR="005E4531" w:rsidRPr="005E4531" w14:paraId="4D974B1D" w14:textId="77777777" w:rsidTr="00906D06">
        <w:tc>
          <w:tcPr>
            <w:tcW w:w="6747" w:type="dxa"/>
            <w:tcBorders>
              <w:top w:val="single" w:sz="12" w:space="0" w:color="auto"/>
              <w:left w:val="single" w:sz="12" w:space="0" w:color="auto"/>
            </w:tcBorders>
            <w:shd w:val="clear" w:color="auto" w:fill="auto"/>
          </w:tcPr>
          <w:p w14:paraId="4D974B1B" w14:textId="77777777" w:rsidR="002A310E" w:rsidRPr="005E4531" w:rsidRDefault="00B52E2F" w:rsidP="00382AE3">
            <w:r w:rsidRPr="005E4531">
              <w:t xml:space="preserve">Mobiliteit </w:t>
            </w:r>
          </w:p>
        </w:tc>
        <w:tc>
          <w:tcPr>
            <w:tcW w:w="950" w:type="dxa"/>
            <w:tcBorders>
              <w:top w:val="single" w:sz="12" w:space="0" w:color="auto"/>
              <w:right w:val="single" w:sz="12" w:space="0" w:color="auto"/>
            </w:tcBorders>
            <w:shd w:val="clear" w:color="auto" w:fill="auto"/>
          </w:tcPr>
          <w:p w14:paraId="4D974B1C" w14:textId="77777777" w:rsidR="002A310E" w:rsidRPr="005E4531" w:rsidRDefault="002A038E" w:rsidP="00382AE3">
            <w:r w:rsidRPr="005E4531">
              <w:t>2</w:t>
            </w:r>
          </w:p>
        </w:tc>
      </w:tr>
      <w:tr w:rsidR="005E4531" w:rsidRPr="005E4531" w14:paraId="4D974B20" w14:textId="77777777" w:rsidTr="00906D06">
        <w:tc>
          <w:tcPr>
            <w:tcW w:w="6747" w:type="dxa"/>
            <w:tcBorders>
              <w:left w:val="single" w:sz="12" w:space="0" w:color="auto"/>
            </w:tcBorders>
            <w:shd w:val="clear" w:color="auto" w:fill="auto"/>
          </w:tcPr>
          <w:p w14:paraId="4D974B1E" w14:textId="77777777" w:rsidR="002A310E" w:rsidRPr="005E4531" w:rsidRDefault="00B52E2F" w:rsidP="00B52E2F">
            <w:r w:rsidRPr="005E4531">
              <w:t xml:space="preserve">Kwaliteit </w:t>
            </w:r>
          </w:p>
        </w:tc>
        <w:tc>
          <w:tcPr>
            <w:tcW w:w="950" w:type="dxa"/>
            <w:tcBorders>
              <w:right w:val="single" w:sz="12" w:space="0" w:color="auto"/>
            </w:tcBorders>
            <w:shd w:val="clear" w:color="auto" w:fill="auto"/>
          </w:tcPr>
          <w:p w14:paraId="4D974B1F" w14:textId="77777777" w:rsidR="002A310E" w:rsidRPr="005E4531" w:rsidRDefault="002A038E" w:rsidP="00382AE3">
            <w:r w:rsidRPr="005E4531">
              <w:t>3</w:t>
            </w:r>
          </w:p>
        </w:tc>
      </w:tr>
      <w:tr w:rsidR="005E4531" w:rsidRPr="005E4531" w14:paraId="4D974B23" w14:textId="77777777" w:rsidTr="00906D06">
        <w:tc>
          <w:tcPr>
            <w:tcW w:w="6747" w:type="dxa"/>
            <w:tcBorders>
              <w:left w:val="single" w:sz="12" w:space="0" w:color="auto"/>
            </w:tcBorders>
            <w:shd w:val="clear" w:color="auto" w:fill="auto"/>
          </w:tcPr>
          <w:p w14:paraId="4D974B21" w14:textId="77777777" w:rsidR="002A310E" w:rsidRPr="005E4531" w:rsidRDefault="00B52E2F" w:rsidP="00382AE3">
            <w:r w:rsidRPr="005E4531">
              <w:t>Diversiteit</w:t>
            </w:r>
          </w:p>
        </w:tc>
        <w:tc>
          <w:tcPr>
            <w:tcW w:w="950" w:type="dxa"/>
            <w:tcBorders>
              <w:right w:val="single" w:sz="12" w:space="0" w:color="auto"/>
            </w:tcBorders>
            <w:shd w:val="clear" w:color="auto" w:fill="auto"/>
          </w:tcPr>
          <w:p w14:paraId="4D974B22" w14:textId="77777777" w:rsidR="002A310E" w:rsidRPr="005E4531" w:rsidRDefault="002A038E" w:rsidP="00382AE3">
            <w:r w:rsidRPr="005E4531">
              <w:t>3</w:t>
            </w:r>
          </w:p>
        </w:tc>
      </w:tr>
      <w:tr w:rsidR="005E4531" w:rsidRPr="005E4531" w14:paraId="4D974B26" w14:textId="77777777" w:rsidTr="00906D06">
        <w:tc>
          <w:tcPr>
            <w:tcW w:w="6747" w:type="dxa"/>
            <w:tcBorders>
              <w:left w:val="single" w:sz="12" w:space="0" w:color="auto"/>
              <w:bottom w:val="single" w:sz="12" w:space="0" w:color="auto"/>
            </w:tcBorders>
            <w:shd w:val="clear" w:color="auto" w:fill="auto"/>
          </w:tcPr>
          <w:p w14:paraId="4D974B24" w14:textId="77777777" w:rsidR="002A310E" w:rsidRPr="005E4531" w:rsidRDefault="00B52E2F" w:rsidP="00382AE3">
            <w:r w:rsidRPr="005E4531">
              <w:t>Genderbalans</w:t>
            </w:r>
          </w:p>
        </w:tc>
        <w:tc>
          <w:tcPr>
            <w:tcW w:w="950" w:type="dxa"/>
            <w:tcBorders>
              <w:bottom w:val="single" w:sz="12" w:space="0" w:color="auto"/>
              <w:right w:val="single" w:sz="12" w:space="0" w:color="auto"/>
            </w:tcBorders>
            <w:shd w:val="clear" w:color="auto" w:fill="auto"/>
          </w:tcPr>
          <w:p w14:paraId="4D974B25" w14:textId="76532686" w:rsidR="002A310E" w:rsidRPr="005E4531" w:rsidRDefault="002A038E" w:rsidP="00382AE3">
            <w:r w:rsidRPr="005E4531">
              <w:t>4</w:t>
            </w:r>
          </w:p>
        </w:tc>
      </w:tr>
      <w:tr w:rsidR="005E4531" w:rsidRPr="005E4531" w14:paraId="4D974B29" w14:textId="77777777" w:rsidTr="00906D06">
        <w:tc>
          <w:tcPr>
            <w:tcW w:w="6747" w:type="dxa"/>
            <w:tcBorders>
              <w:top w:val="single" w:sz="12" w:space="0" w:color="auto"/>
              <w:left w:val="single" w:sz="12" w:space="0" w:color="auto"/>
              <w:bottom w:val="single" w:sz="12" w:space="0" w:color="auto"/>
            </w:tcBorders>
            <w:shd w:val="clear" w:color="auto" w:fill="D0CECE"/>
          </w:tcPr>
          <w:p w14:paraId="4D974B27" w14:textId="77777777" w:rsidR="002A310E" w:rsidRPr="005E4531" w:rsidRDefault="002A310E" w:rsidP="00382AE3">
            <w:pPr>
              <w:rPr>
                <w:b/>
              </w:rPr>
            </w:pPr>
            <w:r w:rsidRPr="005E4531">
              <w:rPr>
                <w:b/>
              </w:rPr>
              <w:t>TOTAAL</w:t>
            </w:r>
          </w:p>
        </w:tc>
        <w:tc>
          <w:tcPr>
            <w:tcW w:w="950" w:type="dxa"/>
            <w:tcBorders>
              <w:top w:val="single" w:sz="12" w:space="0" w:color="auto"/>
              <w:bottom w:val="single" w:sz="12" w:space="0" w:color="auto"/>
              <w:right w:val="single" w:sz="12" w:space="0" w:color="auto"/>
            </w:tcBorders>
            <w:shd w:val="clear" w:color="auto" w:fill="D0CECE"/>
          </w:tcPr>
          <w:p w14:paraId="4D974B28" w14:textId="265E5E1A" w:rsidR="002A310E" w:rsidRPr="005E4531" w:rsidRDefault="005066D1" w:rsidP="00906D06">
            <w:pPr>
              <w:rPr>
                <w:b/>
              </w:rPr>
            </w:pPr>
            <w:r w:rsidRPr="005E4531">
              <w:rPr>
                <w:b/>
              </w:rPr>
              <w:t>3</w:t>
            </w:r>
          </w:p>
        </w:tc>
      </w:tr>
    </w:tbl>
    <w:p w14:paraId="4D974B2A" w14:textId="77777777" w:rsidR="002A310E" w:rsidRPr="005E4531" w:rsidRDefault="002A310E" w:rsidP="00326699"/>
    <w:p w14:paraId="4D974B2D" w14:textId="10F39C59" w:rsidR="00504688" w:rsidRDefault="00504688" w:rsidP="00906D06">
      <w:pPr>
        <w:ind w:firstLine="227"/>
      </w:pPr>
      <w:r w:rsidRPr="00193994">
        <w:t>Verandering</w:t>
      </w:r>
      <w:r>
        <w:t xml:space="preserve"> sinds 2015: neutraal</w:t>
      </w:r>
      <w:r w:rsidRPr="00193994">
        <w:t xml:space="preserve"> = </w:t>
      </w:r>
      <w:r w:rsidRPr="00193994">
        <w:sym w:font="Wingdings" w:char="F0E8"/>
      </w:r>
    </w:p>
    <w:p w14:paraId="4D974B2E" w14:textId="77777777" w:rsidR="00E20A86" w:rsidRPr="005E4531" w:rsidRDefault="00E20A86" w:rsidP="00E20A86"/>
    <w:p w14:paraId="4D974B2F" w14:textId="7AF9D02C" w:rsidR="00DE343C" w:rsidRPr="005E4531" w:rsidRDefault="00906D06" w:rsidP="004D372F">
      <w:pPr>
        <w:pStyle w:val="Heading2"/>
        <w:tabs>
          <w:tab w:val="left" w:pos="-1162"/>
          <w:tab w:val="left" w:pos="0"/>
          <w:tab w:val="num" w:pos="1160"/>
        </w:tabs>
        <w:spacing w:line="240" w:lineRule="auto"/>
        <w:ind w:hanging="1162"/>
      </w:pPr>
      <w:bookmarkStart w:id="40" w:name="_Toc491259075"/>
      <w:r>
        <w:t>4</w:t>
      </w:r>
      <w:r w:rsidR="00326699" w:rsidRPr="005E4531">
        <w:t>.</w:t>
      </w:r>
      <w:r w:rsidR="00A74DEC" w:rsidRPr="005E4531">
        <w:t>7</w:t>
      </w:r>
      <w:r w:rsidR="004D372F" w:rsidRPr="005E4531">
        <w:t xml:space="preserve"> </w:t>
      </w:r>
      <w:r w:rsidR="004D372F" w:rsidRPr="005E4531">
        <w:tab/>
      </w:r>
      <w:r w:rsidR="00DE343C" w:rsidRPr="005E4531">
        <w:t xml:space="preserve">Financiële </w:t>
      </w:r>
      <w:r w:rsidR="00DB7D94" w:rsidRPr="005E4531">
        <w:t>stabiliteit</w:t>
      </w:r>
      <w:bookmarkEnd w:id="40"/>
      <w:r w:rsidR="005F4AF2" w:rsidRPr="005E4531">
        <w:t xml:space="preserve"> </w:t>
      </w:r>
    </w:p>
    <w:p w14:paraId="4D974B31" w14:textId="686B421D" w:rsidR="00627E89" w:rsidRPr="005E4531" w:rsidRDefault="008871AE" w:rsidP="005F4AF2">
      <w:pPr>
        <w:rPr>
          <w:szCs w:val="18"/>
        </w:rPr>
      </w:pPr>
      <w:r>
        <w:rPr>
          <w:rFonts w:eastAsia="Arial Unicode MS"/>
          <w:szCs w:val="18"/>
        </w:rPr>
        <w:t>De k</w:t>
      </w:r>
      <w:r w:rsidR="00627E89" w:rsidRPr="005E4531">
        <w:rPr>
          <w:rFonts w:eastAsia="Arial Unicode MS"/>
          <w:szCs w:val="18"/>
        </w:rPr>
        <w:t xml:space="preserve">osten van OHCHR worden </w:t>
      </w:r>
      <w:r>
        <w:rPr>
          <w:rFonts w:eastAsia="Arial Unicode MS"/>
          <w:szCs w:val="18"/>
        </w:rPr>
        <w:t>voor 45%</w:t>
      </w:r>
      <w:r w:rsidRPr="005E4531">
        <w:rPr>
          <w:rFonts w:eastAsia="Arial Unicode MS"/>
          <w:szCs w:val="18"/>
        </w:rPr>
        <w:t xml:space="preserve"> </w:t>
      </w:r>
      <w:r w:rsidR="00627E89" w:rsidRPr="005E4531">
        <w:rPr>
          <w:rFonts w:eastAsia="Arial Unicode MS"/>
          <w:szCs w:val="18"/>
        </w:rPr>
        <w:t>gedekt door het reguliere VN-budget</w:t>
      </w:r>
      <w:r>
        <w:rPr>
          <w:rFonts w:eastAsia="Arial Unicode MS"/>
          <w:szCs w:val="18"/>
        </w:rPr>
        <w:t>.</w:t>
      </w:r>
      <w:r w:rsidR="00627E89" w:rsidRPr="005E4531">
        <w:rPr>
          <w:rFonts w:eastAsia="Arial Unicode MS"/>
          <w:szCs w:val="18"/>
        </w:rPr>
        <w:t xml:space="preserve"> De rest van de begroting dekt OHCHR met vrijwillige bijdragen van vooral VN-lidstaten. Het goedgekeurde reguliere budget van OHCHR was </w:t>
      </w:r>
      <w:r w:rsidR="00B142FC">
        <w:rPr>
          <w:szCs w:val="18"/>
        </w:rPr>
        <w:t xml:space="preserve">USD </w:t>
      </w:r>
      <w:r w:rsidR="00D64B1F" w:rsidRPr="005E4531">
        <w:rPr>
          <w:szCs w:val="18"/>
        </w:rPr>
        <w:t>190.5 miljoen voo</w:t>
      </w:r>
      <w:r w:rsidR="00627E89" w:rsidRPr="005E4531">
        <w:rPr>
          <w:szCs w:val="18"/>
        </w:rPr>
        <w:t xml:space="preserve">r 2016-2017. Voor 2016 is </w:t>
      </w:r>
      <w:r w:rsidR="001158E8" w:rsidRPr="005E4531">
        <w:rPr>
          <w:szCs w:val="18"/>
        </w:rPr>
        <w:t xml:space="preserve">er </w:t>
      </w:r>
      <w:r w:rsidR="00B142FC">
        <w:rPr>
          <w:szCs w:val="18"/>
        </w:rPr>
        <w:t xml:space="preserve">USD </w:t>
      </w:r>
      <w:r w:rsidR="00627E89" w:rsidRPr="005E4531">
        <w:rPr>
          <w:szCs w:val="18"/>
        </w:rPr>
        <w:t xml:space="preserve">4.5 </w:t>
      </w:r>
      <w:r w:rsidR="00D64B1F" w:rsidRPr="005E4531">
        <w:rPr>
          <w:szCs w:val="18"/>
        </w:rPr>
        <w:t>miljoen</w:t>
      </w:r>
      <w:r w:rsidR="00627E89" w:rsidRPr="005E4531">
        <w:rPr>
          <w:szCs w:val="18"/>
        </w:rPr>
        <w:t xml:space="preserve"> bijgekomen</w:t>
      </w:r>
      <w:r w:rsidR="00D64B1F" w:rsidRPr="005E4531">
        <w:rPr>
          <w:szCs w:val="18"/>
        </w:rPr>
        <w:t xml:space="preserve"> om te kunnen voldoen aan het steeds groeiend aantal mandaten dat door de Mensenrechtenraad wordt opgedragen. </w:t>
      </w:r>
    </w:p>
    <w:p w14:paraId="4D974B32" w14:textId="77777777" w:rsidR="00D64B1F" w:rsidRPr="005E4531" w:rsidRDefault="00D64B1F" w:rsidP="005F4AF2">
      <w:pPr>
        <w:rPr>
          <w:szCs w:val="18"/>
        </w:rPr>
      </w:pPr>
    </w:p>
    <w:p w14:paraId="4D974B33" w14:textId="20C318EA" w:rsidR="00D64B1F" w:rsidRPr="005E4531" w:rsidRDefault="00D64B1F" w:rsidP="000C7B90">
      <w:pPr>
        <w:ind w:right="-211"/>
        <w:rPr>
          <w:rFonts w:eastAsia="Arial Unicode MS"/>
          <w:szCs w:val="18"/>
        </w:rPr>
      </w:pPr>
      <w:r w:rsidRPr="005E4531">
        <w:rPr>
          <w:szCs w:val="18"/>
        </w:rPr>
        <w:t xml:space="preserve">In 2016 is een totaal aan US$129.6 miljoen aan vrijwillige bijdragen binnengekomen. Dit bedrag is hoger dan ooit tevoren en 3% hoger dan in 2015. </w:t>
      </w:r>
      <w:r w:rsidR="00D81275">
        <w:rPr>
          <w:rFonts w:eastAsia="Arial Unicode MS"/>
          <w:szCs w:val="18"/>
        </w:rPr>
        <w:t>Uitgaven voortkomend uit vrijwillige bijdragen</w:t>
      </w:r>
      <w:r w:rsidRPr="005E4531">
        <w:rPr>
          <w:rFonts w:eastAsia="Arial Unicode MS"/>
          <w:szCs w:val="18"/>
        </w:rPr>
        <w:t xml:space="preserve"> liepen in 2016 op tot </w:t>
      </w:r>
      <w:r w:rsidR="00B142FC">
        <w:rPr>
          <w:szCs w:val="18"/>
        </w:rPr>
        <w:t xml:space="preserve">USD </w:t>
      </w:r>
      <w:r w:rsidRPr="005E4531">
        <w:rPr>
          <w:szCs w:val="18"/>
        </w:rPr>
        <w:t>122 miljoen</w:t>
      </w:r>
      <w:r w:rsidR="00D81275">
        <w:rPr>
          <w:szCs w:val="18"/>
        </w:rPr>
        <w:t>. De t</w:t>
      </w:r>
      <w:r w:rsidR="00B142FC">
        <w:rPr>
          <w:szCs w:val="18"/>
        </w:rPr>
        <w:t xml:space="preserve">otale uitgaven kwamen uit op USD </w:t>
      </w:r>
      <w:r w:rsidR="00D81275">
        <w:rPr>
          <w:szCs w:val="18"/>
        </w:rPr>
        <w:t xml:space="preserve">223.3 </w:t>
      </w:r>
      <w:r w:rsidR="00C02D23">
        <w:rPr>
          <w:szCs w:val="18"/>
        </w:rPr>
        <w:t xml:space="preserve">miljoen </w:t>
      </w:r>
      <w:r w:rsidR="00D81275">
        <w:rPr>
          <w:szCs w:val="18"/>
        </w:rPr>
        <w:t>terwijl het totale inkomen uit bijdragen (reguli</w:t>
      </w:r>
      <w:r w:rsidR="00B142FC">
        <w:rPr>
          <w:szCs w:val="18"/>
        </w:rPr>
        <w:t xml:space="preserve">er en vrijwillig) opliep tot USD </w:t>
      </w:r>
      <w:r w:rsidR="00D81275">
        <w:rPr>
          <w:szCs w:val="18"/>
        </w:rPr>
        <w:t>235.5</w:t>
      </w:r>
      <w:r w:rsidR="00C02D23">
        <w:rPr>
          <w:szCs w:val="18"/>
        </w:rPr>
        <w:t xml:space="preserve"> miljoen</w:t>
      </w:r>
      <w:r w:rsidR="00D81275">
        <w:rPr>
          <w:szCs w:val="18"/>
        </w:rPr>
        <w:t>. Voor het</w:t>
      </w:r>
      <w:r w:rsidR="000C7B90">
        <w:rPr>
          <w:szCs w:val="18"/>
        </w:rPr>
        <w:t xml:space="preserve"> </w:t>
      </w:r>
      <w:r w:rsidRPr="005E4531">
        <w:rPr>
          <w:szCs w:val="18"/>
        </w:rPr>
        <w:t xml:space="preserve">eerst sinds 2010 </w:t>
      </w:r>
      <w:r w:rsidR="00D81275">
        <w:rPr>
          <w:szCs w:val="18"/>
        </w:rPr>
        <w:t>gaf</w:t>
      </w:r>
      <w:r w:rsidR="000C7B90">
        <w:rPr>
          <w:szCs w:val="18"/>
        </w:rPr>
        <w:t xml:space="preserve"> </w:t>
      </w:r>
      <w:r w:rsidRPr="005E4531">
        <w:rPr>
          <w:szCs w:val="18"/>
        </w:rPr>
        <w:t>de organisatie minder uit dan dat er inkomsten waren</w:t>
      </w:r>
      <w:r w:rsidR="007F125E">
        <w:rPr>
          <w:szCs w:val="18"/>
        </w:rPr>
        <w:t>.</w:t>
      </w:r>
      <w:r w:rsidR="00A62BB8" w:rsidRPr="005E4531">
        <w:rPr>
          <w:szCs w:val="18"/>
        </w:rPr>
        <w:t xml:space="preserve"> </w:t>
      </w:r>
    </w:p>
    <w:p w14:paraId="4D974B34" w14:textId="77777777" w:rsidR="00D64B1F" w:rsidRPr="005E4531" w:rsidRDefault="00D64B1F" w:rsidP="005F4AF2">
      <w:pPr>
        <w:rPr>
          <w:szCs w:val="18"/>
        </w:rPr>
      </w:pPr>
    </w:p>
    <w:p w14:paraId="4D974B35" w14:textId="35B7EF3D" w:rsidR="00044514" w:rsidRDefault="00D64B1F" w:rsidP="005F4AF2">
      <w:pPr>
        <w:rPr>
          <w:rFonts w:eastAsia="Arial Unicode MS"/>
          <w:szCs w:val="18"/>
        </w:rPr>
      </w:pPr>
      <w:r w:rsidRPr="005E4531">
        <w:rPr>
          <w:szCs w:val="18"/>
        </w:rPr>
        <w:t xml:space="preserve">OHCHR blijft </w:t>
      </w:r>
      <w:r w:rsidR="001158E8" w:rsidRPr="005E4531">
        <w:rPr>
          <w:szCs w:val="18"/>
        </w:rPr>
        <w:t xml:space="preserve">noodzakelijkerwijs </w:t>
      </w:r>
      <w:r w:rsidRPr="005E4531">
        <w:rPr>
          <w:szCs w:val="18"/>
        </w:rPr>
        <w:t xml:space="preserve">focussen op het binnenhalen van vrijwillige bijdragen. </w:t>
      </w:r>
      <w:r w:rsidR="005F4AF2" w:rsidRPr="005E4531">
        <w:rPr>
          <w:rFonts w:eastAsia="Arial Unicode MS"/>
          <w:szCs w:val="18"/>
        </w:rPr>
        <w:t>Daarnaast zal worden gepleit voor een groter aandeel uit het reguliere budget v</w:t>
      </w:r>
      <w:r w:rsidR="00EB590D" w:rsidRPr="005E4531">
        <w:rPr>
          <w:rFonts w:eastAsia="Arial Unicode MS"/>
          <w:szCs w:val="18"/>
        </w:rPr>
        <w:t>an de VN. Nederland steunt dat.</w:t>
      </w:r>
    </w:p>
    <w:p w14:paraId="3087BD00" w14:textId="77777777" w:rsidR="00F738D7" w:rsidRDefault="00F738D7" w:rsidP="00F738D7">
      <w:pPr>
        <w:rPr>
          <w:rFonts w:eastAsia="Arial Unicode MS"/>
          <w:szCs w:val="18"/>
        </w:rPr>
      </w:pPr>
    </w:p>
    <w:p w14:paraId="50D35096" w14:textId="6D056AE2" w:rsidR="00F738D7" w:rsidRDefault="00F738D7" w:rsidP="000C7B90">
      <w:pPr>
        <w:ind w:right="-211"/>
        <w:rPr>
          <w:szCs w:val="18"/>
        </w:rPr>
      </w:pPr>
      <w:r w:rsidRPr="005E4531">
        <w:rPr>
          <w:szCs w:val="18"/>
        </w:rPr>
        <w:t xml:space="preserve">De rapportages van OHCHR zijn uitgebreid en met grote zorg opgesteld. Het jaarrapport bevat een beschrijving van de behaalde resultaten voor de verscheidene thematische prioriteiten. Rapportages worden altijd tijdig aangeleverd. OHCHR tracht resultaten beter inzichtelijk te maken door te werken aan </w:t>
      </w:r>
      <w:r w:rsidRPr="001B06FD">
        <w:rPr>
          <w:i/>
          <w:szCs w:val="18"/>
        </w:rPr>
        <w:t>infographics</w:t>
      </w:r>
      <w:r w:rsidRPr="005E4531">
        <w:rPr>
          <w:szCs w:val="18"/>
        </w:rPr>
        <w:t xml:space="preserve"> en verbeterende (online) communicatie</w:t>
      </w:r>
      <w:r>
        <w:rPr>
          <w:szCs w:val="18"/>
        </w:rPr>
        <w:t>.</w:t>
      </w:r>
      <w:r w:rsidRPr="005E4531">
        <w:rPr>
          <w:szCs w:val="18"/>
        </w:rPr>
        <w:t xml:space="preserve"> </w:t>
      </w:r>
    </w:p>
    <w:p w14:paraId="20FD9E7A" w14:textId="2C69E6DD" w:rsidR="0038410B" w:rsidRDefault="0038410B" w:rsidP="00F738D7">
      <w:pPr>
        <w:rPr>
          <w:szCs w:val="18"/>
        </w:rPr>
      </w:pPr>
    </w:p>
    <w:p w14:paraId="6481FB6B" w14:textId="6B566768" w:rsidR="0038410B" w:rsidRPr="005E4531" w:rsidRDefault="0038410B" w:rsidP="000C7B90">
      <w:pPr>
        <w:ind w:right="-211"/>
      </w:pPr>
      <w:r w:rsidRPr="005E4531">
        <w:rPr>
          <w:szCs w:val="18"/>
        </w:rPr>
        <w:t xml:space="preserve">Monitoring vindt plaats via de reguliere VN-mechanismen. Het OHCHR voldoet aan de rapportageverplichtingen van de Vijfde Commissie van de AVVN. </w:t>
      </w:r>
      <w:r w:rsidRPr="005E4531">
        <w:t xml:space="preserve">De interne controle </w:t>
      </w:r>
      <w:r w:rsidRPr="005E4531">
        <w:lastRenderedPageBreak/>
        <w:t xml:space="preserve">bij OHCHR wordt uitgevoerd door de VN Office of </w:t>
      </w:r>
      <w:r w:rsidRPr="00CA0570">
        <w:rPr>
          <w:i/>
        </w:rPr>
        <w:t>Internal Oversight Services</w:t>
      </w:r>
      <w:r w:rsidRPr="005E4531">
        <w:t xml:space="preserve"> (OIOS). Op het moment staan er geen ‘kritische’ of ‘belangrijke’ aanbevelingen van OIOS open. Externe audits voor OHCHR worden uitgevoerd door de </w:t>
      </w:r>
      <w:r w:rsidRPr="005E4531">
        <w:rPr>
          <w:i/>
        </w:rPr>
        <w:t>Board of Auditors</w:t>
      </w:r>
      <w:r w:rsidRPr="005E4531">
        <w:t xml:space="preserve"> van het Internationaal VN-secretariaat. De OHCHR ontvangt geen eigen audit </w:t>
      </w:r>
      <w:r>
        <w:t>-</w:t>
      </w:r>
      <w:r w:rsidRPr="005E4531">
        <w:t xml:space="preserve">rapport, maar is opgenomen in Volume I van de VN, die over 2015 een goedkeurende accountantsverklaring </w:t>
      </w:r>
      <w:r w:rsidR="001B06FD" w:rsidRPr="005E4531">
        <w:t>ontving</w:t>
      </w:r>
      <w:r w:rsidR="001B06FD">
        <w:t>.</w:t>
      </w:r>
      <w:r w:rsidRPr="005E4531">
        <w:t xml:space="preserve"> Het OHCHR is onlangs ook door de </w:t>
      </w:r>
      <w:r w:rsidRPr="005E4531">
        <w:rPr>
          <w:i/>
        </w:rPr>
        <w:t>Joint Inspection</w:t>
      </w:r>
      <w:r w:rsidRPr="005E4531">
        <w:t xml:space="preserve"> </w:t>
      </w:r>
      <w:r w:rsidRPr="005E4531">
        <w:rPr>
          <w:i/>
        </w:rPr>
        <w:t>Unit</w:t>
      </w:r>
      <w:r w:rsidRPr="005E4531">
        <w:t xml:space="preserve"> doorgelicht waarbij vier aanbevelingen aan het adres van OHCHR verschenen. Twee in het oog springende aanbevelingen waren de behoefte aan het formuleren van een </w:t>
      </w:r>
      <w:r w:rsidRPr="005E4531">
        <w:rPr>
          <w:i/>
        </w:rPr>
        <w:t>risk assessment policy</w:t>
      </w:r>
      <w:r w:rsidRPr="005E4531">
        <w:t xml:space="preserve"> en een HR-strategie en actieplan. Hoewel uit het JIU-rapport bleek dat de geografische diversiteit van het personeel toenam, is nog steeds de helft van het personeelsbestand afkomstig van WEOG-landen</w:t>
      </w:r>
      <w:r w:rsidR="0082329D">
        <w:t>.</w:t>
      </w:r>
      <w:r w:rsidR="0082329D">
        <w:rPr>
          <w:rStyle w:val="FootnoteReference"/>
        </w:rPr>
        <w:footnoteReference w:id="5"/>
      </w:r>
      <w:r>
        <w:t xml:space="preserve"> </w:t>
      </w:r>
    </w:p>
    <w:p w14:paraId="75CA7796" w14:textId="77777777" w:rsidR="0038410B" w:rsidRDefault="0038410B" w:rsidP="00F738D7">
      <w:pPr>
        <w:rPr>
          <w:szCs w:val="18"/>
        </w:rPr>
      </w:pPr>
    </w:p>
    <w:p w14:paraId="40F277DC" w14:textId="570825C9" w:rsidR="0038410B" w:rsidRPr="005E4531" w:rsidRDefault="0038410B" w:rsidP="000C7B90">
      <w:pPr>
        <w:ind w:right="-211"/>
        <w:rPr>
          <w:szCs w:val="18"/>
        </w:rPr>
      </w:pPr>
      <w:r w:rsidRPr="005E4531">
        <w:rPr>
          <w:szCs w:val="18"/>
        </w:rPr>
        <w:t>De kosten die OHCHR in rekening brengt voor het beheer van projecten is acceptabel. Een voorbeeld daarvan is het door NL gesteunde OHCHR</w:t>
      </w:r>
      <w:r>
        <w:rPr>
          <w:szCs w:val="18"/>
        </w:rPr>
        <w:t>-</w:t>
      </w:r>
      <w:r w:rsidRPr="005E4531">
        <w:rPr>
          <w:szCs w:val="18"/>
        </w:rPr>
        <w:t>project rond veiligheid en rechtsorde en democratisering in Kenia, waar de management kosten van het project (</w:t>
      </w:r>
      <w:r w:rsidRPr="00CA0570">
        <w:rPr>
          <w:i/>
          <w:szCs w:val="18"/>
        </w:rPr>
        <w:t>Total Support Costs</w:t>
      </w:r>
      <w:r w:rsidRPr="005E4531">
        <w:rPr>
          <w:szCs w:val="18"/>
        </w:rPr>
        <w:t>) van OHCHR op 13% liggen van de totale projectkosten</w:t>
      </w:r>
      <w:r>
        <w:rPr>
          <w:szCs w:val="18"/>
        </w:rPr>
        <w:t>.</w:t>
      </w:r>
      <w:r w:rsidRPr="005E4531">
        <w:rPr>
          <w:szCs w:val="18"/>
        </w:rPr>
        <w:t xml:space="preserve"> </w:t>
      </w:r>
    </w:p>
    <w:p w14:paraId="30ED18D3" w14:textId="3E9E647A" w:rsidR="0038410B" w:rsidRDefault="0038410B" w:rsidP="0038410B">
      <w:pPr>
        <w:rPr>
          <w:szCs w:val="18"/>
        </w:rPr>
      </w:pPr>
    </w:p>
    <w:p w14:paraId="5D81848B" w14:textId="0BDE77F9" w:rsidR="00C02D23" w:rsidRPr="005E4531" w:rsidRDefault="00C02D23" w:rsidP="000C7B90">
      <w:pPr>
        <w:ind w:right="-211"/>
        <w:rPr>
          <w:szCs w:val="18"/>
        </w:rPr>
      </w:pPr>
      <w:r>
        <w:rPr>
          <w:szCs w:val="18"/>
        </w:rPr>
        <w:t>De liquiditeitspositie van OHCHR is relatief sterk. Aan het begin van 2016 stond er US$85.9 miljoen op de balans. Aan het einde van dat fiscale jaar was dit gegroeid tot US$95.1.</w:t>
      </w:r>
      <w:r w:rsidR="000C7B90">
        <w:rPr>
          <w:szCs w:val="18"/>
        </w:rPr>
        <w:t xml:space="preserve"> </w:t>
      </w:r>
    </w:p>
    <w:p w14:paraId="4D974B3A" w14:textId="4DFC3C16" w:rsidR="002A310E" w:rsidRPr="005E4531" w:rsidRDefault="002A310E" w:rsidP="00DE34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8"/>
        <w:gridCol w:w="949"/>
      </w:tblGrid>
      <w:tr w:rsidR="005E4531" w:rsidRPr="005E4531" w14:paraId="4D974B3D" w14:textId="77777777" w:rsidTr="00B06CE6">
        <w:tc>
          <w:tcPr>
            <w:tcW w:w="6912" w:type="dxa"/>
            <w:tcBorders>
              <w:top w:val="single" w:sz="12" w:space="0" w:color="auto"/>
              <w:left w:val="single" w:sz="12" w:space="0" w:color="auto"/>
              <w:bottom w:val="single" w:sz="12" w:space="0" w:color="auto"/>
            </w:tcBorders>
            <w:shd w:val="clear" w:color="auto" w:fill="D0CECE"/>
          </w:tcPr>
          <w:p w14:paraId="4D974B3B" w14:textId="77777777" w:rsidR="002A310E" w:rsidRPr="005E4531" w:rsidRDefault="002A310E" w:rsidP="00382AE3">
            <w:pPr>
              <w:rPr>
                <w:b/>
              </w:rPr>
            </w:pPr>
            <w:r w:rsidRPr="005E4531">
              <w:rPr>
                <w:b/>
              </w:rPr>
              <w:t>Onderdeel</w:t>
            </w:r>
          </w:p>
        </w:tc>
        <w:tc>
          <w:tcPr>
            <w:tcW w:w="955" w:type="dxa"/>
            <w:tcBorders>
              <w:top w:val="single" w:sz="12" w:space="0" w:color="auto"/>
              <w:bottom w:val="single" w:sz="12" w:space="0" w:color="auto"/>
              <w:right w:val="single" w:sz="12" w:space="0" w:color="auto"/>
            </w:tcBorders>
            <w:shd w:val="clear" w:color="auto" w:fill="D0CECE"/>
          </w:tcPr>
          <w:p w14:paraId="4D974B3C" w14:textId="77777777" w:rsidR="002A310E" w:rsidRPr="005E4531" w:rsidRDefault="002A310E" w:rsidP="00382AE3">
            <w:pPr>
              <w:rPr>
                <w:b/>
              </w:rPr>
            </w:pPr>
            <w:r w:rsidRPr="005E4531">
              <w:rPr>
                <w:b/>
              </w:rPr>
              <w:t>Score</w:t>
            </w:r>
          </w:p>
        </w:tc>
      </w:tr>
      <w:tr w:rsidR="005E4531" w:rsidRPr="005E4531" w14:paraId="4D974B40" w14:textId="77777777" w:rsidTr="00382AE3">
        <w:tc>
          <w:tcPr>
            <w:tcW w:w="6912" w:type="dxa"/>
            <w:tcBorders>
              <w:top w:val="single" w:sz="12" w:space="0" w:color="auto"/>
              <w:left w:val="single" w:sz="12" w:space="0" w:color="auto"/>
            </w:tcBorders>
            <w:shd w:val="clear" w:color="auto" w:fill="auto"/>
          </w:tcPr>
          <w:p w14:paraId="4D974B3E" w14:textId="77777777" w:rsidR="002A310E" w:rsidRPr="005E4531" w:rsidRDefault="00927293" w:rsidP="00927293">
            <w:r w:rsidRPr="005E4531">
              <w:t>Verhouding goedgekeurde begroting / ontvangen bijdragen</w:t>
            </w:r>
          </w:p>
        </w:tc>
        <w:tc>
          <w:tcPr>
            <w:tcW w:w="955" w:type="dxa"/>
            <w:tcBorders>
              <w:top w:val="single" w:sz="12" w:space="0" w:color="auto"/>
              <w:right w:val="single" w:sz="12" w:space="0" w:color="auto"/>
            </w:tcBorders>
            <w:shd w:val="clear" w:color="auto" w:fill="auto"/>
          </w:tcPr>
          <w:p w14:paraId="4D974B3F" w14:textId="77777777" w:rsidR="002A310E" w:rsidRPr="005E4531" w:rsidRDefault="00D64B1F" w:rsidP="00382AE3">
            <w:r w:rsidRPr="005E4531">
              <w:t>3</w:t>
            </w:r>
          </w:p>
        </w:tc>
      </w:tr>
      <w:tr w:rsidR="005E4531" w:rsidRPr="005E4531" w14:paraId="4D974B43" w14:textId="77777777" w:rsidTr="00382AE3">
        <w:tc>
          <w:tcPr>
            <w:tcW w:w="6912" w:type="dxa"/>
            <w:tcBorders>
              <w:left w:val="single" w:sz="12" w:space="0" w:color="auto"/>
            </w:tcBorders>
            <w:shd w:val="clear" w:color="auto" w:fill="auto"/>
          </w:tcPr>
          <w:p w14:paraId="4D974B41" w14:textId="77777777" w:rsidR="002A310E" w:rsidRPr="005E4531" w:rsidRDefault="00927293" w:rsidP="00382AE3">
            <w:r w:rsidRPr="005E4531">
              <w:t>Liquiditeitspositie en/of solvabiliteitspositie</w:t>
            </w:r>
          </w:p>
        </w:tc>
        <w:tc>
          <w:tcPr>
            <w:tcW w:w="955" w:type="dxa"/>
            <w:tcBorders>
              <w:right w:val="single" w:sz="12" w:space="0" w:color="auto"/>
            </w:tcBorders>
            <w:shd w:val="clear" w:color="auto" w:fill="auto"/>
          </w:tcPr>
          <w:p w14:paraId="4D974B42" w14:textId="18B29263" w:rsidR="002A310E" w:rsidRPr="005E4531" w:rsidRDefault="007E7BB9" w:rsidP="00382AE3">
            <w:r>
              <w:t>4</w:t>
            </w:r>
          </w:p>
        </w:tc>
      </w:tr>
      <w:tr w:rsidR="005E4531" w:rsidRPr="005E4531" w14:paraId="4D974B46" w14:textId="77777777" w:rsidTr="00382AE3">
        <w:tc>
          <w:tcPr>
            <w:tcW w:w="6912" w:type="dxa"/>
            <w:tcBorders>
              <w:left w:val="single" w:sz="12" w:space="0" w:color="auto"/>
            </w:tcBorders>
            <w:shd w:val="clear" w:color="auto" w:fill="auto"/>
          </w:tcPr>
          <w:p w14:paraId="4D974B44" w14:textId="77777777" w:rsidR="002A310E" w:rsidRPr="005E4531" w:rsidRDefault="00927293" w:rsidP="00382AE3">
            <w:r w:rsidRPr="005E4531">
              <w:t>Interne auditfunctie</w:t>
            </w:r>
          </w:p>
        </w:tc>
        <w:tc>
          <w:tcPr>
            <w:tcW w:w="955" w:type="dxa"/>
            <w:tcBorders>
              <w:right w:val="single" w:sz="12" w:space="0" w:color="auto"/>
            </w:tcBorders>
            <w:shd w:val="clear" w:color="auto" w:fill="auto"/>
          </w:tcPr>
          <w:p w14:paraId="4D974B45" w14:textId="77777777" w:rsidR="002A310E" w:rsidRPr="005E4531" w:rsidRDefault="005066D1" w:rsidP="00382AE3">
            <w:r w:rsidRPr="005E4531">
              <w:t>3</w:t>
            </w:r>
          </w:p>
        </w:tc>
      </w:tr>
      <w:tr w:rsidR="005E4531" w:rsidRPr="005E4531" w14:paraId="4D974B49" w14:textId="77777777" w:rsidTr="00382AE3">
        <w:tc>
          <w:tcPr>
            <w:tcW w:w="6912" w:type="dxa"/>
            <w:tcBorders>
              <w:left w:val="single" w:sz="12" w:space="0" w:color="auto"/>
            </w:tcBorders>
            <w:shd w:val="clear" w:color="auto" w:fill="auto"/>
          </w:tcPr>
          <w:p w14:paraId="4D974B47" w14:textId="77777777" w:rsidR="00927293" w:rsidRPr="005E4531" w:rsidRDefault="00927293" w:rsidP="00382AE3">
            <w:r w:rsidRPr="005E4531">
              <w:t>Kwaliteit rapportages</w:t>
            </w:r>
          </w:p>
        </w:tc>
        <w:tc>
          <w:tcPr>
            <w:tcW w:w="955" w:type="dxa"/>
            <w:tcBorders>
              <w:right w:val="single" w:sz="12" w:space="0" w:color="auto"/>
            </w:tcBorders>
            <w:shd w:val="clear" w:color="auto" w:fill="auto"/>
          </w:tcPr>
          <w:p w14:paraId="4D974B48" w14:textId="77777777" w:rsidR="00927293" w:rsidRPr="005E4531" w:rsidRDefault="00B901A4" w:rsidP="00382AE3">
            <w:r w:rsidRPr="005E4531">
              <w:t>4</w:t>
            </w:r>
          </w:p>
        </w:tc>
      </w:tr>
      <w:tr w:rsidR="005E4531" w:rsidRPr="005E4531" w14:paraId="4D974B4C" w14:textId="77777777" w:rsidTr="00382AE3">
        <w:tc>
          <w:tcPr>
            <w:tcW w:w="6912" w:type="dxa"/>
            <w:tcBorders>
              <w:left w:val="single" w:sz="12" w:space="0" w:color="auto"/>
            </w:tcBorders>
            <w:shd w:val="clear" w:color="auto" w:fill="auto"/>
          </w:tcPr>
          <w:p w14:paraId="4D974B4A" w14:textId="77777777" w:rsidR="00927293" w:rsidRPr="005E4531" w:rsidRDefault="00927293" w:rsidP="00382AE3">
            <w:r w:rsidRPr="005E4531">
              <w:t>Samenhang tussen inhoudelijke en financiële rapportages</w:t>
            </w:r>
          </w:p>
        </w:tc>
        <w:tc>
          <w:tcPr>
            <w:tcW w:w="955" w:type="dxa"/>
            <w:tcBorders>
              <w:right w:val="single" w:sz="12" w:space="0" w:color="auto"/>
            </w:tcBorders>
            <w:shd w:val="clear" w:color="auto" w:fill="auto"/>
          </w:tcPr>
          <w:p w14:paraId="4D974B4B" w14:textId="77777777" w:rsidR="00927293" w:rsidRPr="005E4531" w:rsidRDefault="00B901A4" w:rsidP="00382AE3">
            <w:r w:rsidRPr="005E4531">
              <w:t>4</w:t>
            </w:r>
          </w:p>
        </w:tc>
      </w:tr>
      <w:tr w:rsidR="005E4531" w:rsidRPr="005E4531" w14:paraId="4D974B4F" w14:textId="77777777" w:rsidTr="00B06CE6">
        <w:tc>
          <w:tcPr>
            <w:tcW w:w="6912" w:type="dxa"/>
            <w:tcBorders>
              <w:top w:val="single" w:sz="12" w:space="0" w:color="auto"/>
              <w:left w:val="single" w:sz="12" w:space="0" w:color="auto"/>
              <w:bottom w:val="single" w:sz="12" w:space="0" w:color="auto"/>
            </w:tcBorders>
            <w:shd w:val="clear" w:color="auto" w:fill="D0CECE"/>
          </w:tcPr>
          <w:p w14:paraId="4D974B4D" w14:textId="77777777" w:rsidR="002A310E" w:rsidRPr="005E4531" w:rsidRDefault="002A310E" w:rsidP="00382AE3">
            <w:pPr>
              <w:rPr>
                <w:b/>
              </w:rPr>
            </w:pPr>
            <w:r w:rsidRPr="005E4531">
              <w:rPr>
                <w:b/>
              </w:rPr>
              <w:t>TOTAAL</w:t>
            </w:r>
          </w:p>
        </w:tc>
        <w:tc>
          <w:tcPr>
            <w:tcW w:w="955" w:type="dxa"/>
            <w:tcBorders>
              <w:top w:val="single" w:sz="12" w:space="0" w:color="auto"/>
              <w:bottom w:val="single" w:sz="12" w:space="0" w:color="auto"/>
              <w:right w:val="single" w:sz="12" w:space="0" w:color="auto"/>
            </w:tcBorders>
            <w:shd w:val="clear" w:color="auto" w:fill="D0CECE"/>
          </w:tcPr>
          <w:p w14:paraId="4D974B4E" w14:textId="70D4631A" w:rsidR="002A310E" w:rsidRPr="005E4531" w:rsidRDefault="005066D1" w:rsidP="00504688">
            <w:pPr>
              <w:rPr>
                <w:b/>
              </w:rPr>
            </w:pPr>
            <w:r w:rsidRPr="005E4531">
              <w:rPr>
                <w:b/>
              </w:rPr>
              <w:t>3</w:t>
            </w:r>
          </w:p>
        </w:tc>
      </w:tr>
    </w:tbl>
    <w:p w14:paraId="4D974B50" w14:textId="77777777" w:rsidR="002A310E" w:rsidRPr="005E4531" w:rsidRDefault="002A310E" w:rsidP="00DE343C"/>
    <w:p w14:paraId="4D974B53" w14:textId="77777777" w:rsidR="00504688" w:rsidRDefault="00504688" w:rsidP="00EB1D2E">
      <w:pPr>
        <w:ind w:firstLine="227"/>
      </w:pPr>
      <w:r w:rsidRPr="00193994">
        <w:t>Verandering</w:t>
      </w:r>
      <w:r>
        <w:t xml:space="preserve"> sinds 2015: neutraal</w:t>
      </w:r>
      <w:r w:rsidRPr="00193994">
        <w:t xml:space="preserve"> = </w:t>
      </w:r>
      <w:r w:rsidRPr="00193994">
        <w:sym w:font="Wingdings" w:char="F0E8"/>
      </w:r>
    </w:p>
    <w:p w14:paraId="4D974B54" w14:textId="77777777" w:rsidR="00927293" w:rsidRPr="005E4531" w:rsidRDefault="00927293" w:rsidP="00E20A86"/>
    <w:p w14:paraId="4D974B55" w14:textId="63D7BA81" w:rsidR="005F4AF2" w:rsidRPr="005E4531" w:rsidRDefault="00906D06" w:rsidP="00A871C2">
      <w:pPr>
        <w:pStyle w:val="Heading2"/>
        <w:tabs>
          <w:tab w:val="left" w:pos="-1162"/>
          <w:tab w:val="left" w:pos="0"/>
          <w:tab w:val="num" w:pos="1160"/>
        </w:tabs>
        <w:spacing w:line="240" w:lineRule="auto"/>
        <w:ind w:hanging="1162"/>
      </w:pPr>
      <w:bookmarkStart w:id="41" w:name="_Toc491259076"/>
      <w:r>
        <w:t>4</w:t>
      </w:r>
      <w:r w:rsidR="00382AE3" w:rsidRPr="005E4531">
        <w:t xml:space="preserve">.8 </w:t>
      </w:r>
      <w:r w:rsidR="00382AE3" w:rsidRPr="005E4531">
        <w:tab/>
      </w:r>
      <w:r w:rsidR="00775414">
        <w:t>Kostenreductie</w:t>
      </w:r>
      <w:bookmarkEnd w:id="41"/>
    </w:p>
    <w:p w14:paraId="45AE7CF4" w14:textId="4DC18F11" w:rsidR="00BE2FBA" w:rsidRPr="00A1262F" w:rsidRDefault="004C2B81" w:rsidP="004C2B81">
      <w:pPr>
        <w:rPr>
          <w:szCs w:val="18"/>
        </w:rPr>
      </w:pPr>
      <w:r w:rsidRPr="00A1262F">
        <w:rPr>
          <w:szCs w:val="18"/>
        </w:rPr>
        <w:t xml:space="preserve">De organisatie is een proces begonnen waarin de prioriteiten zijn herzien op basis van een </w:t>
      </w:r>
      <w:r w:rsidR="008855E6" w:rsidRPr="00A1262F">
        <w:rPr>
          <w:i/>
          <w:szCs w:val="18"/>
        </w:rPr>
        <w:t>P</w:t>
      </w:r>
      <w:r w:rsidRPr="00A1262F">
        <w:rPr>
          <w:i/>
          <w:szCs w:val="18"/>
        </w:rPr>
        <w:t xml:space="preserve">erformance </w:t>
      </w:r>
      <w:r w:rsidR="008855E6" w:rsidRPr="00A1262F">
        <w:rPr>
          <w:i/>
          <w:szCs w:val="18"/>
        </w:rPr>
        <w:t>M</w:t>
      </w:r>
      <w:r w:rsidRPr="00A1262F">
        <w:rPr>
          <w:i/>
          <w:szCs w:val="18"/>
        </w:rPr>
        <w:t xml:space="preserve">onitoring </w:t>
      </w:r>
      <w:r w:rsidR="008855E6" w:rsidRPr="00A1262F">
        <w:rPr>
          <w:i/>
          <w:szCs w:val="18"/>
        </w:rPr>
        <w:t>S</w:t>
      </w:r>
      <w:r w:rsidRPr="00A1262F">
        <w:rPr>
          <w:i/>
          <w:szCs w:val="18"/>
        </w:rPr>
        <w:t>ystem</w:t>
      </w:r>
      <w:r w:rsidR="00375F24" w:rsidRPr="00A1262F">
        <w:rPr>
          <w:i/>
          <w:szCs w:val="18"/>
        </w:rPr>
        <w:t xml:space="preserve"> (PMS)</w:t>
      </w:r>
      <w:r w:rsidRPr="00A1262F">
        <w:rPr>
          <w:szCs w:val="18"/>
        </w:rPr>
        <w:t xml:space="preserve">. </w:t>
      </w:r>
      <w:r w:rsidR="00BE2FBA" w:rsidRPr="00A1262F">
        <w:rPr>
          <w:szCs w:val="18"/>
        </w:rPr>
        <w:t xml:space="preserve">Dit systeem is geïntroduceerd in 2010 en is </w:t>
      </w:r>
      <w:r w:rsidR="00375F24" w:rsidRPr="00A1262F">
        <w:rPr>
          <w:szCs w:val="18"/>
        </w:rPr>
        <w:t>het startpunt</w:t>
      </w:r>
      <w:r w:rsidR="00BE2FBA" w:rsidRPr="00A1262F">
        <w:rPr>
          <w:szCs w:val="18"/>
        </w:rPr>
        <w:t xml:space="preserve"> voor alle planning, monitoring en rappo</w:t>
      </w:r>
      <w:r w:rsidR="00E25991" w:rsidRPr="00A1262F">
        <w:rPr>
          <w:szCs w:val="18"/>
        </w:rPr>
        <w:t>rteer-activiteiten</w:t>
      </w:r>
      <w:r w:rsidR="00BE2FBA" w:rsidRPr="00A1262F">
        <w:rPr>
          <w:szCs w:val="18"/>
        </w:rPr>
        <w:t>:</w:t>
      </w:r>
    </w:p>
    <w:p w14:paraId="359FE14F" w14:textId="1DFF1378" w:rsidR="00BE2FBA" w:rsidRPr="00A1262F" w:rsidRDefault="00BE2FBA" w:rsidP="00BE2FBA">
      <w:pPr>
        <w:pStyle w:val="ListParagraph"/>
        <w:numPr>
          <w:ilvl w:val="1"/>
          <w:numId w:val="9"/>
        </w:numPr>
        <w:rPr>
          <w:szCs w:val="18"/>
        </w:rPr>
      </w:pPr>
      <w:r w:rsidRPr="00A1262F">
        <w:rPr>
          <w:szCs w:val="18"/>
        </w:rPr>
        <w:t xml:space="preserve">Alle </w:t>
      </w:r>
      <w:r w:rsidR="00375F24" w:rsidRPr="00A1262F">
        <w:rPr>
          <w:szCs w:val="18"/>
        </w:rPr>
        <w:t>planmatige documenten (bijvoorbeeld landen en regionale werkplannen)</w:t>
      </w:r>
      <w:r w:rsidR="00E25991" w:rsidRPr="00A1262F">
        <w:rPr>
          <w:szCs w:val="18"/>
        </w:rPr>
        <w:t xml:space="preserve"> worden</w:t>
      </w:r>
      <w:r w:rsidR="00375F24" w:rsidRPr="00A1262F">
        <w:rPr>
          <w:szCs w:val="18"/>
        </w:rPr>
        <w:t xml:space="preserve"> op een toegankelijke manier </w:t>
      </w:r>
      <w:r w:rsidRPr="00A1262F">
        <w:rPr>
          <w:szCs w:val="18"/>
        </w:rPr>
        <w:t>opgeslagen op é</w:t>
      </w:r>
      <w:r w:rsidR="00211B56" w:rsidRPr="00A1262F">
        <w:rPr>
          <w:szCs w:val="18"/>
        </w:rPr>
        <w:t>én plek;</w:t>
      </w:r>
    </w:p>
    <w:p w14:paraId="1516F7E5" w14:textId="7AE36E82" w:rsidR="00211B56" w:rsidRPr="00A1262F" w:rsidRDefault="00211B56" w:rsidP="00BE2FBA">
      <w:pPr>
        <w:pStyle w:val="ListParagraph"/>
        <w:numPr>
          <w:ilvl w:val="1"/>
          <w:numId w:val="9"/>
        </w:numPr>
        <w:rPr>
          <w:szCs w:val="18"/>
        </w:rPr>
      </w:pPr>
      <w:r w:rsidRPr="00A1262F">
        <w:rPr>
          <w:szCs w:val="18"/>
        </w:rPr>
        <w:t>Er ontstaat een grote verantwoordelijkheid om de gemaakte pla</w:t>
      </w:r>
      <w:r w:rsidR="00AC3FE3" w:rsidRPr="00A1262F">
        <w:rPr>
          <w:szCs w:val="18"/>
        </w:rPr>
        <w:t>nnen te realiseren o</w:t>
      </w:r>
      <w:r w:rsidR="00E25991" w:rsidRPr="00A1262F">
        <w:rPr>
          <w:szCs w:val="18"/>
        </w:rPr>
        <w:t>mdat er</w:t>
      </w:r>
      <w:r w:rsidRPr="00A1262F">
        <w:rPr>
          <w:szCs w:val="18"/>
        </w:rPr>
        <w:t xml:space="preserve"> gerapporteerd </w:t>
      </w:r>
      <w:r w:rsidR="00E25991" w:rsidRPr="00A1262F">
        <w:rPr>
          <w:szCs w:val="18"/>
        </w:rPr>
        <w:t xml:space="preserve">moet worden </w:t>
      </w:r>
      <w:r w:rsidRPr="00A1262F">
        <w:rPr>
          <w:szCs w:val="18"/>
        </w:rPr>
        <w:t>over wat er is bereikt;</w:t>
      </w:r>
    </w:p>
    <w:p w14:paraId="00FAA80A" w14:textId="5FE4BD7D" w:rsidR="00211B56" w:rsidRPr="00A1262F" w:rsidRDefault="00AC3FE3" w:rsidP="00223818">
      <w:pPr>
        <w:pStyle w:val="ListParagraph"/>
        <w:numPr>
          <w:ilvl w:val="1"/>
          <w:numId w:val="9"/>
        </w:numPr>
        <w:rPr>
          <w:szCs w:val="18"/>
        </w:rPr>
      </w:pPr>
      <w:r w:rsidRPr="00A1262F">
        <w:rPr>
          <w:szCs w:val="18"/>
        </w:rPr>
        <w:t>Er worden p</w:t>
      </w:r>
      <w:r w:rsidR="00211B56" w:rsidRPr="00A1262F">
        <w:rPr>
          <w:szCs w:val="18"/>
        </w:rPr>
        <w:t xml:space="preserve">er kantoor </w:t>
      </w:r>
      <w:r w:rsidRPr="00A1262F">
        <w:rPr>
          <w:szCs w:val="18"/>
        </w:rPr>
        <w:t xml:space="preserve">gerelateerde indicatoren </w:t>
      </w:r>
      <w:r w:rsidR="00211B56" w:rsidRPr="00A1262F">
        <w:rPr>
          <w:szCs w:val="18"/>
        </w:rPr>
        <w:t>gebruikt om doelen te stellen;</w:t>
      </w:r>
    </w:p>
    <w:p w14:paraId="67B32E90" w14:textId="6D70F639" w:rsidR="00211B56" w:rsidRPr="00A1262F" w:rsidRDefault="00211B56" w:rsidP="00223818">
      <w:pPr>
        <w:pStyle w:val="ListParagraph"/>
        <w:numPr>
          <w:ilvl w:val="1"/>
          <w:numId w:val="9"/>
        </w:numPr>
        <w:rPr>
          <w:szCs w:val="18"/>
        </w:rPr>
      </w:pPr>
      <w:r w:rsidRPr="00A1262F">
        <w:rPr>
          <w:szCs w:val="18"/>
        </w:rPr>
        <w:t>Het monit</w:t>
      </w:r>
      <w:r w:rsidR="00E25991" w:rsidRPr="00A1262F">
        <w:rPr>
          <w:szCs w:val="18"/>
        </w:rPr>
        <w:t xml:space="preserve">oren en rapporteren </w:t>
      </w:r>
      <w:r w:rsidR="00B142FC">
        <w:rPr>
          <w:szCs w:val="18"/>
        </w:rPr>
        <w:t xml:space="preserve">wordt </w:t>
      </w:r>
      <w:r w:rsidR="00E25991" w:rsidRPr="00A1262F">
        <w:rPr>
          <w:szCs w:val="18"/>
        </w:rPr>
        <w:t>a.h.v. concrete voorbeelden</w:t>
      </w:r>
      <w:r w:rsidRPr="00A1262F">
        <w:rPr>
          <w:szCs w:val="18"/>
        </w:rPr>
        <w:t xml:space="preserve"> onderbouwd</w:t>
      </w:r>
      <w:r w:rsidR="00AC3FE3" w:rsidRPr="00A1262F">
        <w:rPr>
          <w:szCs w:val="18"/>
        </w:rPr>
        <w:t>;</w:t>
      </w:r>
      <w:r w:rsidRPr="00A1262F">
        <w:rPr>
          <w:szCs w:val="18"/>
        </w:rPr>
        <w:t xml:space="preserve"> </w:t>
      </w:r>
    </w:p>
    <w:p w14:paraId="21426776" w14:textId="5AE78F2F" w:rsidR="00211B56" w:rsidRPr="00A1262F" w:rsidRDefault="00211B56" w:rsidP="00223818">
      <w:pPr>
        <w:pStyle w:val="ListParagraph"/>
        <w:numPr>
          <w:ilvl w:val="1"/>
          <w:numId w:val="9"/>
        </w:numPr>
        <w:rPr>
          <w:szCs w:val="18"/>
        </w:rPr>
      </w:pPr>
      <w:r w:rsidRPr="00A1262F">
        <w:rPr>
          <w:szCs w:val="18"/>
        </w:rPr>
        <w:t>Medewerkers, en in het bijzonder managers</w:t>
      </w:r>
      <w:r w:rsidR="00E25991" w:rsidRPr="00A1262F">
        <w:rPr>
          <w:szCs w:val="18"/>
        </w:rPr>
        <w:t xml:space="preserve">, </w:t>
      </w:r>
      <w:r w:rsidRPr="00A1262F">
        <w:rPr>
          <w:szCs w:val="18"/>
        </w:rPr>
        <w:t xml:space="preserve">hebben toegang tot </w:t>
      </w:r>
      <w:r w:rsidR="00E25991" w:rsidRPr="00A1262F">
        <w:rPr>
          <w:szCs w:val="18"/>
        </w:rPr>
        <w:t>alle planning en monitoring</w:t>
      </w:r>
      <w:r w:rsidRPr="00A1262F">
        <w:rPr>
          <w:szCs w:val="18"/>
        </w:rPr>
        <w:t xml:space="preserve">documenten </w:t>
      </w:r>
      <w:r w:rsidR="00E25991" w:rsidRPr="00A1262F">
        <w:rPr>
          <w:szCs w:val="18"/>
        </w:rPr>
        <w:t xml:space="preserve">en </w:t>
      </w:r>
      <w:r w:rsidRPr="00A1262F">
        <w:rPr>
          <w:szCs w:val="18"/>
        </w:rPr>
        <w:t xml:space="preserve">kunnen deze informatie gebruiken om hun besluitvormging te verbeteren, </w:t>
      </w:r>
      <w:r w:rsidR="00E25991" w:rsidRPr="00A1262F">
        <w:rPr>
          <w:szCs w:val="18"/>
        </w:rPr>
        <w:t>te zorgen voor ‘</w:t>
      </w:r>
      <w:r w:rsidRPr="00A1262F">
        <w:rPr>
          <w:szCs w:val="18"/>
        </w:rPr>
        <w:t>kruisbestuiving</w:t>
      </w:r>
      <w:r w:rsidR="00E25991" w:rsidRPr="00A1262F">
        <w:rPr>
          <w:szCs w:val="18"/>
        </w:rPr>
        <w:t>’</w:t>
      </w:r>
      <w:r w:rsidRPr="00A1262F">
        <w:rPr>
          <w:szCs w:val="18"/>
        </w:rPr>
        <w:t xml:space="preserve"> en </w:t>
      </w:r>
      <w:r w:rsidR="00E25991" w:rsidRPr="00A1262F">
        <w:rPr>
          <w:szCs w:val="18"/>
        </w:rPr>
        <w:t>‘</w:t>
      </w:r>
      <w:r w:rsidR="00E25991" w:rsidRPr="001B06FD">
        <w:rPr>
          <w:i/>
          <w:szCs w:val="18"/>
        </w:rPr>
        <w:t>institutional learning’</w:t>
      </w:r>
      <w:r w:rsidR="00E25991" w:rsidRPr="00A1262F">
        <w:rPr>
          <w:szCs w:val="18"/>
        </w:rPr>
        <w:t>.</w:t>
      </w:r>
    </w:p>
    <w:p w14:paraId="608F200D" w14:textId="41A439BD" w:rsidR="00211B56" w:rsidRPr="00A1262F" w:rsidRDefault="00211B56" w:rsidP="00375F24">
      <w:pPr>
        <w:ind w:left="227"/>
        <w:rPr>
          <w:szCs w:val="18"/>
        </w:rPr>
      </w:pPr>
    </w:p>
    <w:p w14:paraId="5447E7A4" w14:textId="294CFE92" w:rsidR="00A62BB8" w:rsidRPr="00A1262F" w:rsidRDefault="00375F24" w:rsidP="000C7B90">
      <w:pPr>
        <w:ind w:right="-211"/>
        <w:rPr>
          <w:szCs w:val="18"/>
        </w:rPr>
      </w:pPr>
      <w:r w:rsidRPr="00A1262F">
        <w:rPr>
          <w:szCs w:val="18"/>
        </w:rPr>
        <w:t>De OHCHR heeft ook de effectiviteit van de</w:t>
      </w:r>
      <w:r w:rsidR="00E25991" w:rsidRPr="00A1262F">
        <w:rPr>
          <w:szCs w:val="18"/>
        </w:rPr>
        <w:t xml:space="preserve"> financiële middelen verbeterd doordat programma-</w:t>
      </w:r>
      <w:r w:rsidRPr="00A1262F">
        <w:rPr>
          <w:szCs w:val="18"/>
        </w:rPr>
        <w:t xml:space="preserve">informatie via PMS is gelinkt aan de financiële informatie. Deze </w:t>
      </w:r>
      <w:r w:rsidR="00E25991" w:rsidRPr="00A1262F">
        <w:rPr>
          <w:szCs w:val="18"/>
        </w:rPr>
        <w:t>methode</w:t>
      </w:r>
      <w:r w:rsidRPr="00A1262F">
        <w:rPr>
          <w:szCs w:val="18"/>
        </w:rPr>
        <w:t xml:space="preserve"> heeft ertoe geleid dat de OHCHR een belangrijke bijdrage </w:t>
      </w:r>
      <w:r w:rsidR="00AC3FE3" w:rsidRPr="00A1262F">
        <w:rPr>
          <w:szCs w:val="18"/>
        </w:rPr>
        <w:t>is gaan leveren</w:t>
      </w:r>
      <w:r w:rsidRPr="00A1262F">
        <w:rPr>
          <w:szCs w:val="18"/>
        </w:rPr>
        <w:t xml:space="preserve"> aan de ontwikkeling van een VN </w:t>
      </w:r>
      <w:r w:rsidR="00071E70" w:rsidRPr="00A1262F">
        <w:rPr>
          <w:szCs w:val="18"/>
        </w:rPr>
        <w:t>(</w:t>
      </w:r>
      <w:r w:rsidRPr="00A1262F">
        <w:rPr>
          <w:szCs w:val="18"/>
        </w:rPr>
        <w:t>secretariaat-breed</w:t>
      </w:r>
      <w:r w:rsidR="00071E70" w:rsidRPr="00A1262F">
        <w:rPr>
          <w:szCs w:val="18"/>
        </w:rPr>
        <w:t>)</w:t>
      </w:r>
      <w:r w:rsidRPr="00A1262F">
        <w:rPr>
          <w:szCs w:val="18"/>
        </w:rPr>
        <w:t xml:space="preserve"> ‘</w:t>
      </w:r>
      <w:r w:rsidRPr="00A1262F">
        <w:rPr>
          <w:i/>
          <w:szCs w:val="18"/>
        </w:rPr>
        <w:t>Finance Dashboard’</w:t>
      </w:r>
      <w:r w:rsidR="000C7B90">
        <w:rPr>
          <w:i/>
          <w:szCs w:val="18"/>
        </w:rPr>
        <w:t xml:space="preserve"> </w:t>
      </w:r>
      <w:r w:rsidRPr="00A1262F">
        <w:rPr>
          <w:szCs w:val="18"/>
        </w:rPr>
        <w:t xml:space="preserve">welke </w:t>
      </w:r>
      <w:r w:rsidR="00071E70" w:rsidRPr="00A1262F">
        <w:rPr>
          <w:szCs w:val="18"/>
        </w:rPr>
        <w:t xml:space="preserve">financiële data zal </w:t>
      </w:r>
      <w:r w:rsidRPr="00A1262F">
        <w:rPr>
          <w:szCs w:val="18"/>
        </w:rPr>
        <w:t>l</w:t>
      </w:r>
      <w:r w:rsidR="00071E70" w:rsidRPr="00A1262F">
        <w:rPr>
          <w:szCs w:val="18"/>
        </w:rPr>
        <w:t>inken aan programma informatie.</w:t>
      </w:r>
    </w:p>
    <w:p w14:paraId="0BFA45BD" w14:textId="77777777" w:rsidR="00071E70" w:rsidRDefault="00071E70" w:rsidP="00071E70"/>
    <w:p w14:paraId="082C983B" w14:textId="52DECBEE" w:rsidR="00BE2FBA" w:rsidRPr="00071E70" w:rsidRDefault="00375F24" w:rsidP="000C7B90">
      <w:pPr>
        <w:ind w:right="-211"/>
        <w:rPr>
          <w:szCs w:val="18"/>
        </w:rPr>
      </w:pPr>
      <w:r w:rsidRPr="00071E70">
        <w:rPr>
          <w:szCs w:val="18"/>
        </w:rPr>
        <w:lastRenderedPageBreak/>
        <w:t>Het PMS</w:t>
      </w:r>
      <w:r w:rsidR="004C2B81" w:rsidRPr="00071E70">
        <w:rPr>
          <w:szCs w:val="18"/>
        </w:rPr>
        <w:t xml:space="preserve"> heeft o.a. geresulteerd in het sluiten of verkleinen van een aantal landenkantoren (</w:t>
      </w:r>
      <w:r w:rsidR="001B06FD" w:rsidRPr="00071E70">
        <w:rPr>
          <w:szCs w:val="18"/>
        </w:rPr>
        <w:t>Ecuador</w:t>
      </w:r>
      <w:r w:rsidR="004C2B81" w:rsidRPr="00071E70">
        <w:rPr>
          <w:szCs w:val="18"/>
        </w:rPr>
        <w:t xml:space="preserve">, </w:t>
      </w:r>
      <w:r w:rsidR="008855E6" w:rsidRPr="00071E70">
        <w:rPr>
          <w:szCs w:val="18"/>
        </w:rPr>
        <w:t>Moldavië</w:t>
      </w:r>
      <w:r w:rsidR="004C2B81" w:rsidRPr="00071E70">
        <w:rPr>
          <w:szCs w:val="18"/>
        </w:rPr>
        <w:t xml:space="preserve"> en Kosovo). Ook is OHCHR in gesprek met private partijen (bedrijfsleven) voor financiering</w:t>
      </w:r>
      <w:r w:rsidR="007F125E" w:rsidRPr="00071E70">
        <w:rPr>
          <w:szCs w:val="18"/>
        </w:rPr>
        <w:t>.</w:t>
      </w:r>
      <w:r w:rsidR="004C2B81" w:rsidRPr="00071E70">
        <w:rPr>
          <w:szCs w:val="18"/>
        </w:rPr>
        <w:t xml:space="preserve"> </w:t>
      </w:r>
    </w:p>
    <w:p w14:paraId="5B7F2A37" w14:textId="1B2ACC46" w:rsidR="00BE2FBA" w:rsidRPr="00375F24" w:rsidRDefault="00BE2FBA" w:rsidP="004C2B81">
      <w:pPr>
        <w:rPr>
          <w:szCs w:val="18"/>
        </w:rPr>
      </w:pPr>
    </w:p>
    <w:p w14:paraId="75E93278" w14:textId="447C605A" w:rsidR="007219E5" w:rsidRDefault="007219E5" w:rsidP="004C2B81">
      <w:pPr>
        <w:rPr>
          <w:szCs w:val="18"/>
        </w:rPr>
      </w:pPr>
      <w:r>
        <w:rPr>
          <w:szCs w:val="18"/>
        </w:rPr>
        <w:t xml:space="preserve">Kosteneffectiviteit van programma’s is goed. </w:t>
      </w:r>
      <w:r w:rsidR="0038410B">
        <w:rPr>
          <w:szCs w:val="18"/>
        </w:rPr>
        <w:t>Uitdaging</w:t>
      </w:r>
      <w:r w:rsidR="004C2B81" w:rsidRPr="005E4531">
        <w:rPr>
          <w:szCs w:val="18"/>
        </w:rPr>
        <w:t xml:space="preserve"> voor OHCHR </w:t>
      </w:r>
      <w:r w:rsidR="0038410B">
        <w:rPr>
          <w:szCs w:val="18"/>
        </w:rPr>
        <w:t xml:space="preserve">is </w:t>
      </w:r>
      <w:r w:rsidR="004C2B81" w:rsidRPr="005E4531">
        <w:rPr>
          <w:szCs w:val="18"/>
        </w:rPr>
        <w:t>een goed evenwicht te vinden tussen de</w:t>
      </w:r>
      <w:r w:rsidR="00F67930">
        <w:rPr>
          <w:szCs w:val="18"/>
        </w:rPr>
        <w:t xml:space="preserve"> schaarse</w:t>
      </w:r>
      <w:r w:rsidR="004C2B81" w:rsidRPr="005E4531">
        <w:rPr>
          <w:szCs w:val="18"/>
        </w:rPr>
        <w:t xml:space="preserve"> financiële middelen die de organisatie jaarlijks </w:t>
      </w:r>
      <w:r w:rsidR="00F67930">
        <w:rPr>
          <w:szCs w:val="18"/>
        </w:rPr>
        <w:t xml:space="preserve">via vrijwillige bijdragen van donoren </w:t>
      </w:r>
      <w:r w:rsidR="004C2B81" w:rsidRPr="005E4531">
        <w:rPr>
          <w:szCs w:val="18"/>
        </w:rPr>
        <w:t>ontvangt en de uitgaven die nodig zijn om aan de vele, door de VN-lidstaten gevraagde mandaten en benodigde werkzaamheden</w:t>
      </w:r>
      <w:r w:rsidR="00F67930">
        <w:rPr>
          <w:szCs w:val="18"/>
        </w:rPr>
        <w:t>,</w:t>
      </w:r>
      <w:r w:rsidR="004C2B81" w:rsidRPr="005E4531">
        <w:rPr>
          <w:szCs w:val="18"/>
        </w:rPr>
        <w:t xml:space="preserve"> te voldoen. Het OHCHR probeert dit probleem te ondervangen door te reorganiseren en bij de uitvoering van zijn activiteiten zoveel mogelijk aan te sluiten bij bestaande structuren en organisaties. </w:t>
      </w:r>
    </w:p>
    <w:p w14:paraId="5E366AF4" w14:textId="77777777" w:rsidR="007219E5" w:rsidRDefault="007219E5" w:rsidP="004C2B81">
      <w:pPr>
        <w:rPr>
          <w:szCs w:val="18"/>
        </w:rPr>
      </w:pPr>
    </w:p>
    <w:p w14:paraId="52065520" w14:textId="77777777" w:rsidR="00D11B6F" w:rsidRDefault="004C2B81" w:rsidP="004C2B81">
      <w:pPr>
        <w:rPr>
          <w:szCs w:val="18"/>
        </w:rPr>
      </w:pPr>
      <w:r w:rsidRPr="005E4531">
        <w:rPr>
          <w:szCs w:val="18"/>
        </w:rPr>
        <w:t>Er vindt jaarlijks overleg plaats tussen de Hoge Commissaris en zijn staf en een aantal grote donoren, waaronder Nederland. Hier wordt openheid van zaken gegeven en over de financiële situatie en managementaangelegenheden en kan worden overlegd over het stellen van prioriteiten.</w:t>
      </w:r>
    </w:p>
    <w:p w14:paraId="7AC2F687" w14:textId="77777777" w:rsidR="00D11B6F" w:rsidRDefault="00D11B6F" w:rsidP="004C2B81">
      <w:pPr>
        <w:rPr>
          <w:szCs w:val="18"/>
        </w:rPr>
      </w:pPr>
    </w:p>
    <w:p w14:paraId="4D974B59" w14:textId="0422AF3E" w:rsidR="004C2B81" w:rsidRPr="00B4789A" w:rsidRDefault="00B4789A" w:rsidP="00906D06">
      <w:r>
        <w:t xml:space="preserve">OHCHR </w:t>
      </w:r>
      <w:r>
        <w:rPr>
          <w:rStyle w:val="normaltextrun"/>
          <w:rFonts w:cs="Segoe UI"/>
          <w:szCs w:val="18"/>
        </w:rPr>
        <w:t>volgt het algemene VN-beleid wat betreft salarissen en secundaire arbeidsvoorwaarden. Dit wordt in de vijfde commissie vastgesteld.</w:t>
      </w:r>
    </w:p>
    <w:p w14:paraId="4D974B5A" w14:textId="77777777" w:rsidR="00440503" w:rsidRPr="005E4531" w:rsidRDefault="00440503" w:rsidP="004C2B81">
      <w:pPr>
        <w:rPr>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5"/>
        <w:gridCol w:w="952"/>
      </w:tblGrid>
      <w:tr w:rsidR="005E4531" w:rsidRPr="005E4531" w14:paraId="4D974B62" w14:textId="77777777" w:rsidTr="00FD436D">
        <w:tc>
          <w:tcPr>
            <w:tcW w:w="6745" w:type="dxa"/>
            <w:tcBorders>
              <w:top w:val="single" w:sz="12" w:space="0" w:color="auto"/>
              <w:left w:val="single" w:sz="12" w:space="0" w:color="auto"/>
              <w:bottom w:val="single" w:sz="12" w:space="0" w:color="auto"/>
            </w:tcBorders>
            <w:shd w:val="clear" w:color="auto" w:fill="D0CECE"/>
          </w:tcPr>
          <w:p w14:paraId="4D974B60" w14:textId="77777777" w:rsidR="00382AE3" w:rsidRPr="005E4531" w:rsidRDefault="00382AE3" w:rsidP="00382AE3">
            <w:pPr>
              <w:rPr>
                <w:b/>
              </w:rPr>
            </w:pPr>
            <w:r w:rsidRPr="005E4531">
              <w:rPr>
                <w:b/>
              </w:rPr>
              <w:t>Onderdeel</w:t>
            </w:r>
          </w:p>
        </w:tc>
        <w:tc>
          <w:tcPr>
            <w:tcW w:w="952" w:type="dxa"/>
            <w:tcBorders>
              <w:top w:val="single" w:sz="12" w:space="0" w:color="auto"/>
              <w:bottom w:val="single" w:sz="12" w:space="0" w:color="auto"/>
              <w:right w:val="single" w:sz="12" w:space="0" w:color="auto"/>
            </w:tcBorders>
            <w:shd w:val="clear" w:color="auto" w:fill="D0CECE"/>
          </w:tcPr>
          <w:p w14:paraId="4D974B61" w14:textId="77777777" w:rsidR="00382AE3" w:rsidRPr="005E4531" w:rsidRDefault="00382AE3" w:rsidP="00382AE3">
            <w:pPr>
              <w:rPr>
                <w:b/>
              </w:rPr>
            </w:pPr>
            <w:r w:rsidRPr="005E4531">
              <w:rPr>
                <w:b/>
              </w:rPr>
              <w:t>Score</w:t>
            </w:r>
          </w:p>
        </w:tc>
      </w:tr>
      <w:tr w:rsidR="005E4531" w:rsidRPr="005E4531" w14:paraId="4D974B65" w14:textId="77777777" w:rsidTr="00FD436D">
        <w:tc>
          <w:tcPr>
            <w:tcW w:w="6745" w:type="dxa"/>
            <w:tcBorders>
              <w:top w:val="single" w:sz="12" w:space="0" w:color="auto"/>
              <w:left w:val="single" w:sz="12" w:space="0" w:color="auto"/>
            </w:tcBorders>
            <w:shd w:val="clear" w:color="auto" w:fill="auto"/>
          </w:tcPr>
          <w:p w14:paraId="4D974B63" w14:textId="77777777" w:rsidR="00382AE3" w:rsidRPr="005E4531" w:rsidRDefault="002568BC" w:rsidP="00382AE3">
            <w:r w:rsidRPr="005E4531">
              <w:t>Verhouding programma-uitgaven/overhead</w:t>
            </w:r>
          </w:p>
        </w:tc>
        <w:tc>
          <w:tcPr>
            <w:tcW w:w="952" w:type="dxa"/>
            <w:tcBorders>
              <w:top w:val="single" w:sz="12" w:space="0" w:color="auto"/>
              <w:right w:val="single" w:sz="12" w:space="0" w:color="auto"/>
            </w:tcBorders>
            <w:shd w:val="clear" w:color="auto" w:fill="auto"/>
          </w:tcPr>
          <w:p w14:paraId="4D974B64" w14:textId="77777777" w:rsidR="00382AE3" w:rsidRPr="005E4531" w:rsidRDefault="005066D1" w:rsidP="00382AE3">
            <w:r w:rsidRPr="005E4531">
              <w:t>3</w:t>
            </w:r>
          </w:p>
        </w:tc>
      </w:tr>
      <w:tr w:rsidR="005E4531" w:rsidRPr="005E4531" w14:paraId="4D974B68" w14:textId="77777777" w:rsidTr="00FD436D">
        <w:tc>
          <w:tcPr>
            <w:tcW w:w="6745" w:type="dxa"/>
            <w:tcBorders>
              <w:left w:val="single" w:sz="12" w:space="0" w:color="auto"/>
            </w:tcBorders>
            <w:shd w:val="clear" w:color="auto" w:fill="auto"/>
          </w:tcPr>
          <w:p w14:paraId="4D974B66" w14:textId="77777777" w:rsidR="00382AE3" w:rsidRPr="005E4531" w:rsidRDefault="002568BC" w:rsidP="00A21A93">
            <w:r w:rsidRPr="005E4531">
              <w:t>Kosteneff</w:t>
            </w:r>
            <w:r w:rsidR="00A21A93" w:rsidRPr="005E4531">
              <w:t xml:space="preserve">ectiviteit </w:t>
            </w:r>
            <w:r w:rsidRPr="005E4531">
              <w:t>programma’s</w:t>
            </w:r>
          </w:p>
        </w:tc>
        <w:tc>
          <w:tcPr>
            <w:tcW w:w="952" w:type="dxa"/>
            <w:tcBorders>
              <w:right w:val="single" w:sz="12" w:space="0" w:color="auto"/>
            </w:tcBorders>
            <w:shd w:val="clear" w:color="auto" w:fill="auto"/>
          </w:tcPr>
          <w:p w14:paraId="4D974B67" w14:textId="77777777" w:rsidR="00382AE3" w:rsidRPr="005E4531" w:rsidRDefault="005066D1" w:rsidP="00382AE3">
            <w:r w:rsidRPr="005E4531">
              <w:t>3</w:t>
            </w:r>
          </w:p>
        </w:tc>
      </w:tr>
      <w:tr w:rsidR="005E4531" w:rsidRPr="005E4531" w14:paraId="4D974B6B" w14:textId="77777777" w:rsidTr="00FD436D">
        <w:tc>
          <w:tcPr>
            <w:tcW w:w="6745" w:type="dxa"/>
            <w:tcBorders>
              <w:left w:val="single" w:sz="12" w:space="0" w:color="auto"/>
            </w:tcBorders>
            <w:shd w:val="clear" w:color="auto" w:fill="auto"/>
          </w:tcPr>
          <w:p w14:paraId="4D974B69" w14:textId="77777777" w:rsidR="00382AE3" w:rsidRPr="005E4531" w:rsidRDefault="002568BC" w:rsidP="00382AE3">
            <w:r w:rsidRPr="005E4531">
              <w:t>Versobering salarissen en secundaire arbeidsvoorwaarden</w:t>
            </w:r>
          </w:p>
        </w:tc>
        <w:tc>
          <w:tcPr>
            <w:tcW w:w="952" w:type="dxa"/>
            <w:tcBorders>
              <w:right w:val="single" w:sz="12" w:space="0" w:color="auto"/>
            </w:tcBorders>
            <w:shd w:val="clear" w:color="auto" w:fill="auto"/>
          </w:tcPr>
          <w:p w14:paraId="4D974B6A" w14:textId="77777777" w:rsidR="00382AE3" w:rsidRPr="005E4531" w:rsidRDefault="005066D1" w:rsidP="00382AE3">
            <w:r w:rsidRPr="005E4531">
              <w:t>3</w:t>
            </w:r>
          </w:p>
        </w:tc>
      </w:tr>
      <w:tr w:rsidR="005E4531" w:rsidRPr="005E4531" w14:paraId="4D974B6E" w14:textId="77777777" w:rsidTr="00FD436D">
        <w:tc>
          <w:tcPr>
            <w:tcW w:w="6745" w:type="dxa"/>
            <w:tcBorders>
              <w:top w:val="single" w:sz="12" w:space="0" w:color="auto"/>
              <w:left w:val="single" w:sz="12" w:space="0" w:color="auto"/>
              <w:bottom w:val="single" w:sz="12" w:space="0" w:color="auto"/>
            </w:tcBorders>
            <w:shd w:val="clear" w:color="auto" w:fill="D0CECE"/>
          </w:tcPr>
          <w:p w14:paraId="4D974B6C" w14:textId="77777777" w:rsidR="00382AE3" w:rsidRPr="005E4531" w:rsidRDefault="00382AE3" w:rsidP="00382AE3">
            <w:pPr>
              <w:rPr>
                <w:b/>
              </w:rPr>
            </w:pPr>
            <w:r w:rsidRPr="005E4531">
              <w:rPr>
                <w:b/>
              </w:rPr>
              <w:t>TOTAAL</w:t>
            </w:r>
          </w:p>
        </w:tc>
        <w:tc>
          <w:tcPr>
            <w:tcW w:w="952" w:type="dxa"/>
            <w:tcBorders>
              <w:top w:val="single" w:sz="12" w:space="0" w:color="auto"/>
              <w:bottom w:val="single" w:sz="12" w:space="0" w:color="auto"/>
              <w:right w:val="single" w:sz="12" w:space="0" w:color="auto"/>
            </w:tcBorders>
            <w:shd w:val="clear" w:color="auto" w:fill="D0CECE"/>
          </w:tcPr>
          <w:p w14:paraId="4D974B6D" w14:textId="4927A5F4" w:rsidR="00382AE3" w:rsidRPr="005E4531" w:rsidRDefault="005066D1" w:rsidP="00504688">
            <w:pPr>
              <w:rPr>
                <w:b/>
              </w:rPr>
            </w:pPr>
            <w:r w:rsidRPr="005E4531">
              <w:rPr>
                <w:b/>
              </w:rPr>
              <w:t>3</w:t>
            </w:r>
          </w:p>
        </w:tc>
      </w:tr>
    </w:tbl>
    <w:p w14:paraId="4D974B6F" w14:textId="77777777" w:rsidR="00382AE3" w:rsidRPr="005E4531" w:rsidRDefault="00382AE3" w:rsidP="00382AE3"/>
    <w:p w14:paraId="4D974B72" w14:textId="77777777" w:rsidR="00504688" w:rsidRDefault="00504688" w:rsidP="00EB1D2E">
      <w:pPr>
        <w:ind w:firstLine="227"/>
      </w:pPr>
      <w:r w:rsidRPr="00193994">
        <w:t>Verandering</w:t>
      </w:r>
      <w:r>
        <w:t xml:space="preserve"> sinds 2015: neutraal</w:t>
      </w:r>
      <w:r w:rsidRPr="00193994">
        <w:t xml:space="preserve"> = </w:t>
      </w:r>
      <w:r w:rsidRPr="00193994">
        <w:sym w:font="Wingdings" w:char="F0E8"/>
      </w:r>
    </w:p>
    <w:p w14:paraId="4D974B73" w14:textId="77777777" w:rsidR="00BE0836" w:rsidRPr="005E4531" w:rsidRDefault="00BE0836" w:rsidP="0031751C"/>
    <w:p w14:paraId="4D974B74" w14:textId="4DC23ADD" w:rsidR="00DE343C" w:rsidRPr="005E4531" w:rsidRDefault="00906D06" w:rsidP="004D372F">
      <w:pPr>
        <w:pStyle w:val="Heading2"/>
        <w:tabs>
          <w:tab w:val="left" w:pos="-1162"/>
          <w:tab w:val="left" w:pos="0"/>
          <w:tab w:val="num" w:pos="1160"/>
        </w:tabs>
        <w:spacing w:line="240" w:lineRule="auto"/>
        <w:ind w:hanging="1162"/>
      </w:pPr>
      <w:bookmarkStart w:id="42" w:name="_Toc491259077"/>
      <w:r>
        <w:t>4</w:t>
      </w:r>
      <w:r w:rsidR="000A22CF" w:rsidRPr="005E4531">
        <w:t>.</w:t>
      </w:r>
      <w:r w:rsidR="00382AE3" w:rsidRPr="005E4531">
        <w:t>9</w:t>
      </w:r>
      <w:r w:rsidR="004D372F" w:rsidRPr="005E4531">
        <w:t xml:space="preserve"> </w:t>
      </w:r>
      <w:r w:rsidR="004D372F" w:rsidRPr="005E4531">
        <w:tab/>
      </w:r>
      <w:r w:rsidR="00DE343C" w:rsidRPr="005E4531">
        <w:t>Corruptiebestrijding</w:t>
      </w:r>
      <w:bookmarkEnd w:id="42"/>
      <w:r w:rsidR="000F53BE" w:rsidRPr="005E4531">
        <w:t xml:space="preserve"> </w:t>
      </w:r>
    </w:p>
    <w:p w14:paraId="4D974B76" w14:textId="6D715776" w:rsidR="003C1629" w:rsidRPr="005E4531" w:rsidRDefault="005F4AF2" w:rsidP="005F4AF2">
      <w:pPr>
        <w:rPr>
          <w:rFonts w:eastAsia="Arial Unicode MS"/>
          <w:bCs/>
          <w:iCs/>
          <w:szCs w:val="18"/>
        </w:rPr>
      </w:pPr>
      <w:r w:rsidRPr="005E4531">
        <w:rPr>
          <w:rFonts w:eastAsia="Arial Unicode MS"/>
          <w:bCs/>
          <w:iCs/>
          <w:szCs w:val="18"/>
        </w:rPr>
        <w:t xml:space="preserve">Het OHCHR valt onder het Secretariaat van de VN en voldoet aan de vigerende regels inzake corruptie. Onderdeel van het Secretariaat van de VN is het </w:t>
      </w:r>
      <w:r w:rsidRPr="005E4531">
        <w:rPr>
          <w:rFonts w:eastAsia="Arial Unicode MS"/>
          <w:bCs/>
          <w:i/>
          <w:iCs/>
          <w:szCs w:val="18"/>
        </w:rPr>
        <w:t>UN Ethics Office</w:t>
      </w:r>
      <w:r w:rsidRPr="005E4531">
        <w:rPr>
          <w:rFonts w:eastAsia="Arial Unicode MS"/>
          <w:bCs/>
          <w:iCs/>
          <w:szCs w:val="18"/>
        </w:rPr>
        <w:t xml:space="preserve">. Dit onafhankelijke instituut heeft onder andere als doel het promoten van de integriteit van de VN, inclusief het OHCHR. </w:t>
      </w:r>
      <w:r w:rsidR="00FB2516" w:rsidRPr="005E4531">
        <w:rPr>
          <w:rFonts w:eastAsia="Arial Unicode MS"/>
          <w:bCs/>
          <w:iCs/>
          <w:szCs w:val="18"/>
        </w:rPr>
        <w:t xml:space="preserve">OHCHR als kantoor en OHCHR-personeelsleden op individuele basis zijn gebonden aan een raamwerk voor </w:t>
      </w:r>
      <w:r w:rsidR="00FB2516" w:rsidRPr="005E4531">
        <w:rPr>
          <w:rFonts w:eastAsia="Arial Unicode MS"/>
          <w:bCs/>
          <w:i/>
          <w:iCs/>
          <w:szCs w:val="18"/>
        </w:rPr>
        <w:t>financial accountability</w:t>
      </w:r>
      <w:r w:rsidR="00FB2516" w:rsidRPr="005E4531">
        <w:rPr>
          <w:rFonts w:eastAsia="Arial Unicode MS"/>
          <w:bCs/>
          <w:iCs/>
          <w:szCs w:val="18"/>
        </w:rPr>
        <w:t xml:space="preserve">. Onder dat raamwerk valt </w:t>
      </w:r>
      <w:r w:rsidR="008B10B0">
        <w:rPr>
          <w:rFonts w:eastAsia="Arial Unicode MS"/>
          <w:bCs/>
          <w:iCs/>
          <w:szCs w:val="18"/>
        </w:rPr>
        <w:t xml:space="preserve">de </w:t>
      </w:r>
      <w:r w:rsidR="00FB2516" w:rsidRPr="005E4531">
        <w:rPr>
          <w:rFonts w:eastAsia="Arial Unicode MS"/>
          <w:bCs/>
          <w:iCs/>
          <w:szCs w:val="18"/>
        </w:rPr>
        <w:t xml:space="preserve">risicoanalyse, door </w:t>
      </w:r>
      <w:r w:rsidR="008B10B0">
        <w:rPr>
          <w:rFonts w:eastAsia="Arial Unicode MS"/>
          <w:bCs/>
          <w:iCs/>
          <w:szCs w:val="18"/>
        </w:rPr>
        <w:t>de interne toezichthouder</w:t>
      </w:r>
      <w:r w:rsidR="008B10B0" w:rsidRPr="005E4531">
        <w:rPr>
          <w:rFonts w:eastAsia="Arial Unicode MS"/>
          <w:bCs/>
          <w:iCs/>
          <w:szCs w:val="18"/>
        </w:rPr>
        <w:t xml:space="preserve"> </w:t>
      </w:r>
      <w:r w:rsidR="00FB2516" w:rsidRPr="005E4531">
        <w:rPr>
          <w:rFonts w:eastAsia="Arial Unicode MS"/>
          <w:bCs/>
          <w:iCs/>
          <w:szCs w:val="18"/>
        </w:rPr>
        <w:t>OIOS</w:t>
      </w:r>
      <w:r w:rsidR="00E95AA0" w:rsidRPr="005E4531">
        <w:rPr>
          <w:rFonts w:eastAsia="Arial Unicode MS"/>
          <w:bCs/>
          <w:iCs/>
          <w:szCs w:val="18"/>
        </w:rPr>
        <w:t xml:space="preserve">, </w:t>
      </w:r>
      <w:r w:rsidR="00FB2516" w:rsidRPr="005E4531">
        <w:rPr>
          <w:rFonts w:eastAsia="Arial Unicode MS"/>
          <w:bCs/>
          <w:iCs/>
          <w:szCs w:val="18"/>
        </w:rPr>
        <w:t xml:space="preserve">van alle activiteiten van het kantoor. </w:t>
      </w:r>
    </w:p>
    <w:p w14:paraId="4D974B77" w14:textId="77777777" w:rsidR="00E95AA0" w:rsidRPr="005E4531" w:rsidRDefault="00E95AA0" w:rsidP="005F4AF2">
      <w:r w:rsidRPr="005E4531">
        <w:t xml:space="preserve">De anti-corruptie maatregelen schrijven voor dat personeel boven een bepaalde functieschaal, en personeel dat betrokken is bij aankoop van goederen, op jaarbasis inzage verschaffen in hun eigen tegoeden. Externe auditors controleren deze overzichten. </w:t>
      </w:r>
    </w:p>
    <w:p w14:paraId="4D974B78" w14:textId="77777777" w:rsidR="00E95AA0" w:rsidRPr="005E4531" w:rsidRDefault="00E95AA0" w:rsidP="005F4AF2"/>
    <w:p w14:paraId="4D974B79" w14:textId="2AC6B395" w:rsidR="00E95AA0" w:rsidRPr="005E4531" w:rsidRDefault="00E95AA0" w:rsidP="005F4AF2">
      <w:pPr>
        <w:rPr>
          <w:rFonts w:eastAsia="Arial Unicode MS"/>
          <w:bCs/>
          <w:iCs/>
          <w:szCs w:val="18"/>
        </w:rPr>
      </w:pPr>
      <w:r w:rsidRPr="005E4531">
        <w:t>Zoals al het VN-personeel</w:t>
      </w:r>
      <w:r w:rsidR="00F76834">
        <w:t>,</w:t>
      </w:r>
      <w:r w:rsidRPr="005E4531">
        <w:t xml:space="preserve"> ondergaat ook OHCHR-personeel verplichte training over ethiek en integriteit, mogen zij geen geschenken aannemen, moeten ze goedkeuring aanvragen voor nevenactiviteiten en worden ze aansprakelijk gehouden in gevallen van grove nalatigheid. </w:t>
      </w:r>
      <w:r w:rsidR="00A0090D">
        <w:t>Er is geen specifieke informatie over de naleving van deze regels.</w:t>
      </w:r>
      <w:r w:rsidRPr="005E4531">
        <w:t xml:space="preserve"> </w:t>
      </w:r>
    </w:p>
    <w:p w14:paraId="4D974B7A" w14:textId="220E3E9A" w:rsidR="00B030F7" w:rsidRPr="005E4531" w:rsidRDefault="00FB2516" w:rsidP="000C7B90">
      <w:pPr>
        <w:ind w:right="-211"/>
      </w:pPr>
      <w:r w:rsidRPr="005E4531">
        <w:br/>
      </w:r>
      <w:r w:rsidR="00F76834">
        <w:rPr>
          <w:rFonts w:eastAsia="Arial Unicode MS"/>
          <w:bCs/>
          <w:iCs/>
          <w:szCs w:val="18"/>
        </w:rPr>
        <w:t>Het OIOS doet de</w:t>
      </w:r>
      <w:r w:rsidR="005F4AF2" w:rsidRPr="005E4531">
        <w:rPr>
          <w:rFonts w:eastAsia="Arial Unicode MS"/>
          <w:bCs/>
          <w:iCs/>
          <w:szCs w:val="18"/>
        </w:rPr>
        <w:t xml:space="preserve"> interne audit, monitoring en onderzoek van VN-organen</w:t>
      </w:r>
      <w:r w:rsidR="005F4AF2" w:rsidRPr="005E4531">
        <w:t xml:space="preserve">. Volgens OIOS scoort OHCHR </w:t>
      </w:r>
      <w:r w:rsidR="005F4AF2" w:rsidRPr="005E4531">
        <w:rPr>
          <w:i/>
        </w:rPr>
        <w:t>partly satisfactory</w:t>
      </w:r>
      <w:r w:rsidR="005F4AF2" w:rsidRPr="005E4531">
        <w:t>, dat wil zeggen dat er ruimte is voor verbetering. OIOS concludeert dat OHCHR werk maakt van de implementatie van de OIOS- aanbevelingen die allemaal door OHCHR zijn geaccepteerd.</w:t>
      </w:r>
      <w:r w:rsidR="007F462B" w:rsidRPr="005E4531">
        <w:t xml:space="preserve"> </w:t>
      </w:r>
      <w:r w:rsidR="00012307" w:rsidRPr="005E4531">
        <w:t>OIOS heeft ook een voorname rol bij onderzoek naar vermeende gevallen van fraude en zet een 24-uurs hotline</w:t>
      </w:r>
      <w:r w:rsidR="003C1629" w:rsidRPr="005E4531">
        <w:t xml:space="preserve"> in</w:t>
      </w:r>
      <w:r w:rsidR="00012307" w:rsidRPr="005E4531">
        <w:t xml:space="preserve"> en biedt de mogelijkheid via de website fraude te rapporteren.</w:t>
      </w:r>
      <w:r w:rsidR="001D6599" w:rsidRPr="005E4531">
        <w:t xml:space="preserve"> </w:t>
      </w:r>
    </w:p>
    <w:p w14:paraId="4D974B7B" w14:textId="77777777" w:rsidR="003C1629" w:rsidRPr="005E4531" w:rsidRDefault="003C1629" w:rsidP="005F4AF2"/>
    <w:p w14:paraId="4D974B80" w14:textId="1FE42C0C" w:rsidR="005F4AF2" w:rsidRPr="00FD436D" w:rsidRDefault="003C1629" w:rsidP="001114D4">
      <w:pPr>
        <w:ind w:right="-211"/>
      </w:pPr>
      <w:r w:rsidRPr="005E4531">
        <w:rPr>
          <w:lang w:val="en-US"/>
        </w:rPr>
        <w:t xml:space="preserve">In 2016 deed de </w:t>
      </w:r>
      <w:r w:rsidRPr="005E4531">
        <w:rPr>
          <w:i/>
          <w:lang w:val="en-US"/>
        </w:rPr>
        <w:t>Joint Inspection Unit</w:t>
      </w:r>
      <w:r w:rsidRPr="005E4531">
        <w:rPr>
          <w:lang w:val="en-US"/>
        </w:rPr>
        <w:t xml:space="preserve"> een onderzoek naar </w:t>
      </w:r>
      <w:r w:rsidR="00AA0E58" w:rsidRPr="00FD436D">
        <w:rPr>
          <w:i/>
          <w:lang w:val="en-US"/>
        </w:rPr>
        <w:t>Fraud prevention, detection and response in United Nations Organizations</w:t>
      </w:r>
      <w:r w:rsidRPr="005E4531">
        <w:rPr>
          <w:lang w:val="en-US"/>
        </w:rPr>
        <w:t xml:space="preserve">. </w:t>
      </w:r>
      <w:r w:rsidRPr="005E4531">
        <w:t xml:space="preserve">OHCHR werd in dit rapport niet meegenomen. Wel bleek algemeen een sterke </w:t>
      </w:r>
      <w:r w:rsidR="00F16F1F" w:rsidRPr="005E4531">
        <w:t>noodzaak</w:t>
      </w:r>
      <w:r w:rsidRPr="005E4531">
        <w:t xml:space="preserve"> </w:t>
      </w:r>
      <w:r w:rsidR="00F16F1F" w:rsidRPr="005E4531">
        <w:t>voor</w:t>
      </w:r>
      <w:r w:rsidRPr="005E4531">
        <w:t xml:space="preserve"> het hanteren van een eenduidige definitie van fraude en corruptie en </w:t>
      </w:r>
      <w:r w:rsidR="00F16F1F" w:rsidRPr="005E4531">
        <w:t>het belang van een duidelijke</w:t>
      </w:r>
      <w:r w:rsidRPr="005E4531">
        <w:t xml:space="preserve"> voorbeeldfunctie onder het VN-leiderschap</w:t>
      </w:r>
      <w:r w:rsidR="007F125E">
        <w:t>.</w:t>
      </w:r>
      <w:r w:rsidR="000C7B90">
        <w:t xml:space="preserve"> </w:t>
      </w:r>
    </w:p>
    <w:p w14:paraId="4D974B81" w14:textId="77777777" w:rsidR="000A22CF" w:rsidRPr="005E4531" w:rsidRDefault="000A22CF" w:rsidP="000A22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8"/>
        <w:gridCol w:w="949"/>
      </w:tblGrid>
      <w:tr w:rsidR="005E4531" w:rsidRPr="005E4531" w14:paraId="4D974B84" w14:textId="77777777" w:rsidTr="00B06CE6">
        <w:tc>
          <w:tcPr>
            <w:tcW w:w="6912" w:type="dxa"/>
            <w:tcBorders>
              <w:top w:val="single" w:sz="12" w:space="0" w:color="auto"/>
              <w:left w:val="single" w:sz="12" w:space="0" w:color="auto"/>
              <w:bottom w:val="single" w:sz="12" w:space="0" w:color="auto"/>
            </w:tcBorders>
            <w:shd w:val="clear" w:color="auto" w:fill="D0CECE"/>
          </w:tcPr>
          <w:p w14:paraId="4D974B82" w14:textId="77777777" w:rsidR="002A310E" w:rsidRPr="005E4531" w:rsidRDefault="002A310E" w:rsidP="00382AE3">
            <w:pPr>
              <w:rPr>
                <w:b/>
              </w:rPr>
            </w:pPr>
            <w:r w:rsidRPr="005E4531">
              <w:rPr>
                <w:b/>
              </w:rPr>
              <w:t>Onderdeel</w:t>
            </w:r>
          </w:p>
        </w:tc>
        <w:tc>
          <w:tcPr>
            <w:tcW w:w="955" w:type="dxa"/>
            <w:tcBorders>
              <w:top w:val="single" w:sz="12" w:space="0" w:color="auto"/>
              <w:bottom w:val="single" w:sz="12" w:space="0" w:color="auto"/>
              <w:right w:val="single" w:sz="12" w:space="0" w:color="auto"/>
            </w:tcBorders>
            <w:shd w:val="clear" w:color="auto" w:fill="D0CECE"/>
          </w:tcPr>
          <w:p w14:paraId="4D974B83" w14:textId="77777777" w:rsidR="002A310E" w:rsidRPr="005E4531" w:rsidRDefault="002A310E" w:rsidP="00382AE3">
            <w:pPr>
              <w:rPr>
                <w:b/>
              </w:rPr>
            </w:pPr>
            <w:r w:rsidRPr="005E4531">
              <w:rPr>
                <w:b/>
              </w:rPr>
              <w:t>Score</w:t>
            </w:r>
          </w:p>
        </w:tc>
      </w:tr>
      <w:tr w:rsidR="005E4531" w:rsidRPr="005E4531" w14:paraId="4D974B87" w14:textId="77777777" w:rsidTr="00382AE3">
        <w:tc>
          <w:tcPr>
            <w:tcW w:w="6912" w:type="dxa"/>
            <w:tcBorders>
              <w:top w:val="single" w:sz="12" w:space="0" w:color="auto"/>
              <w:left w:val="single" w:sz="12" w:space="0" w:color="auto"/>
            </w:tcBorders>
            <w:shd w:val="clear" w:color="auto" w:fill="auto"/>
          </w:tcPr>
          <w:p w14:paraId="4D974B85" w14:textId="77777777" w:rsidR="002A310E" w:rsidRPr="005E4531" w:rsidRDefault="000F53BE" w:rsidP="00382AE3">
            <w:r w:rsidRPr="005E4531">
              <w:t>Maatregelen rechtmatigheidsrisico’s</w:t>
            </w:r>
          </w:p>
        </w:tc>
        <w:tc>
          <w:tcPr>
            <w:tcW w:w="955" w:type="dxa"/>
            <w:tcBorders>
              <w:top w:val="single" w:sz="12" w:space="0" w:color="auto"/>
              <w:right w:val="single" w:sz="12" w:space="0" w:color="auto"/>
            </w:tcBorders>
            <w:shd w:val="clear" w:color="auto" w:fill="auto"/>
          </w:tcPr>
          <w:p w14:paraId="4D974B86" w14:textId="77777777" w:rsidR="002A310E" w:rsidRPr="005E4531" w:rsidRDefault="00DB0FA8" w:rsidP="00382AE3">
            <w:r w:rsidRPr="005E4531">
              <w:t>3</w:t>
            </w:r>
          </w:p>
        </w:tc>
      </w:tr>
      <w:tr w:rsidR="005E4531" w:rsidRPr="005E4531" w14:paraId="4D974B8A" w14:textId="77777777" w:rsidTr="00382AE3">
        <w:tc>
          <w:tcPr>
            <w:tcW w:w="6912" w:type="dxa"/>
            <w:tcBorders>
              <w:left w:val="single" w:sz="12" w:space="0" w:color="auto"/>
            </w:tcBorders>
            <w:shd w:val="clear" w:color="auto" w:fill="auto"/>
          </w:tcPr>
          <w:p w14:paraId="4D974B88" w14:textId="77777777" w:rsidR="002A310E" w:rsidRPr="005E4531" w:rsidRDefault="000F53BE" w:rsidP="00382AE3">
            <w:r w:rsidRPr="005E4531">
              <w:t>Maatregelen doelmatigheidsrisico’s</w:t>
            </w:r>
          </w:p>
        </w:tc>
        <w:tc>
          <w:tcPr>
            <w:tcW w:w="955" w:type="dxa"/>
            <w:tcBorders>
              <w:right w:val="single" w:sz="12" w:space="0" w:color="auto"/>
            </w:tcBorders>
            <w:shd w:val="clear" w:color="auto" w:fill="auto"/>
          </w:tcPr>
          <w:p w14:paraId="4D974B89" w14:textId="77777777" w:rsidR="002A310E" w:rsidRPr="005E4531" w:rsidRDefault="00DB0FA8" w:rsidP="00382AE3">
            <w:r w:rsidRPr="005E4531">
              <w:t>3</w:t>
            </w:r>
          </w:p>
        </w:tc>
      </w:tr>
      <w:tr w:rsidR="005E4531" w:rsidRPr="005E4531" w14:paraId="4D974B8D" w14:textId="77777777" w:rsidTr="00382AE3">
        <w:tc>
          <w:tcPr>
            <w:tcW w:w="6912" w:type="dxa"/>
            <w:tcBorders>
              <w:left w:val="single" w:sz="12" w:space="0" w:color="auto"/>
            </w:tcBorders>
            <w:shd w:val="clear" w:color="auto" w:fill="auto"/>
          </w:tcPr>
          <w:p w14:paraId="4D974B8B" w14:textId="77777777" w:rsidR="002A310E" w:rsidRPr="005E4531" w:rsidRDefault="000F53BE" w:rsidP="000F53BE">
            <w:r w:rsidRPr="005E4531">
              <w:t xml:space="preserve">Anti-corruptiebeleid </w:t>
            </w:r>
          </w:p>
        </w:tc>
        <w:tc>
          <w:tcPr>
            <w:tcW w:w="955" w:type="dxa"/>
            <w:tcBorders>
              <w:right w:val="single" w:sz="12" w:space="0" w:color="auto"/>
            </w:tcBorders>
            <w:shd w:val="clear" w:color="auto" w:fill="auto"/>
          </w:tcPr>
          <w:p w14:paraId="4D974B8C" w14:textId="77777777" w:rsidR="002A310E" w:rsidRPr="005E4531" w:rsidRDefault="00DB0FA8" w:rsidP="00382AE3">
            <w:r w:rsidRPr="005E4531">
              <w:t>3</w:t>
            </w:r>
          </w:p>
        </w:tc>
      </w:tr>
      <w:tr w:rsidR="005E4531" w:rsidRPr="005E4531" w14:paraId="4D974B90" w14:textId="77777777" w:rsidTr="00382AE3">
        <w:tc>
          <w:tcPr>
            <w:tcW w:w="6912" w:type="dxa"/>
            <w:tcBorders>
              <w:left w:val="single" w:sz="12" w:space="0" w:color="auto"/>
            </w:tcBorders>
            <w:shd w:val="clear" w:color="auto" w:fill="auto"/>
          </w:tcPr>
          <w:p w14:paraId="4D974B8E" w14:textId="77777777" w:rsidR="000F53BE" w:rsidRPr="005E4531" w:rsidRDefault="000F53BE" w:rsidP="00382AE3">
            <w:r w:rsidRPr="005E4531">
              <w:t>Transparantie integriteitsschendingen</w:t>
            </w:r>
          </w:p>
        </w:tc>
        <w:tc>
          <w:tcPr>
            <w:tcW w:w="955" w:type="dxa"/>
            <w:tcBorders>
              <w:right w:val="single" w:sz="12" w:space="0" w:color="auto"/>
            </w:tcBorders>
            <w:shd w:val="clear" w:color="auto" w:fill="auto"/>
          </w:tcPr>
          <w:p w14:paraId="4D974B8F" w14:textId="77777777" w:rsidR="000F53BE" w:rsidRPr="005E4531" w:rsidRDefault="00DB0FA8" w:rsidP="00382AE3">
            <w:r w:rsidRPr="005E4531">
              <w:t>3</w:t>
            </w:r>
          </w:p>
        </w:tc>
      </w:tr>
      <w:tr w:rsidR="005E4531" w:rsidRPr="005E4531" w14:paraId="4D974B93" w14:textId="77777777" w:rsidTr="00B06CE6">
        <w:tc>
          <w:tcPr>
            <w:tcW w:w="6912" w:type="dxa"/>
            <w:tcBorders>
              <w:top w:val="single" w:sz="12" w:space="0" w:color="auto"/>
              <w:left w:val="single" w:sz="12" w:space="0" w:color="auto"/>
              <w:bottom w:val="single" w:sz="12" w:space="0" w:color="auto"/>
            </w:tcBorders>
            <w:shd w:val="clear" w:color="auto" w:fill="D0CECE"/>
          </w:tcPr>
          <w:p w14:paraId="4D974B91" w14:textId="77777777" w:rsidR="002A310E" w:rsidRPr="005E4531" w:rsidRDefault="002A310E" w:rsidP="00382AE3">
            <w:pPr>
              <w:rPr>
                <w:b/>
              </w:rPr>
            </w:pPr>
            <w:r w:rsidRPr="005E4531">
              <w:rPr>
                <w:b/>
              </w:rPr>
              <w:t>TOTAAL</w:t>
            </w:r>
          </w:p>
        </w:tc>
        <w:tc>
          <w:tcPr>
            <w:tcW w:w="955" w:type="dxa"/>
            <w:tcBorders>
              <w:top w:val="single" w:sz="12" w:space="0" w:color="auto"/>
              <w:bottom w:val="single" w:sz="12" w:space="0" w:color="auto"/>
              <w:right w:val="single" w:sz="12" w:space="0" w:color="auto"/>
            </w:tcBorders>
            <w:shd w:val="clear" w:color="auto" w:fill="D0CECE"/>
          </w:tcPr>
          <w:p w14:paraId="4D974B92" w14:textId="2AFAFF05" w:rsidR="002A310E" w:rsidRPr="005E4531" w:rsidRDefault="005066D1" w:rsidP="00504688">
            <w:pPr>
              <w:rPr>
                <w:b/>
              </w:rPr>
            </w:pPr>
            <w:r w:rsidRPr="005E4531">
              <w:rPr>
                <w:b/>
              </w:rPr>
              <w:t>3</w:t>
            </w:r>
          </w:p>
        </w:tc>
      </w:tr>
    </w:tbl>
    <w:p w14:paraId="4D974B94" w14:textId="77777777" w:rsidR="0031751C" w:rsidRPr="005E4531" w:rsidRDefault="0031751C" w:rsidP="00E20A86"/>
    <w:p w14:paraId="4D974B96" w14:textId="04E8E2E8" w:rsidR="00504688" w:rsidRDefault="00504688" w:rsidP="00504688">
      <w:r w:rsidRPr="00504688">
        <w:t xml:space="preserve"> </w:t>
      </w:r>
      <w:r w:rsidR="00906D06">
        <w:tab/>
      </w:r>
      <w:r w:rsidRPr="00193994">
        <w:t>Verandering</w:t>
      </w:r>
      <w:r>
        <w:t xml:space="preserve"> sinds 2015: neutraal</w:t>
      </w:r>
      <w:r w:rsidRPr="00193994">
        <w:t xml:space="preserve"> = </w:t>
      </w:r>
      <w:r w:rsidRPr="00193994">
        <w:sym w:font="Wingdings" w:char="F0E8"/>
      </w:r>
    </w:p>
    <w:p w14:paraId="4D974B97" w14:textId="77777777" w:rsidR="00D32F98" w:rsidRPr="005E4531" w:rsidRDefault="00D32F98" w:rsidP="00D32F98"/>
    <w:p w14:paraId="4D974B98" w14:textId="4B91436B" w:rsidR="009534EF" w:rsidRPr="005E4531" w:rsidRDefault="00906D06" w:rsidP="004D372F">
      <w:pPr>
        <w:pStyle w:val="Heading1"/>
        <w:tabs>
          <w:tab w:val="num" w:pos="0"/>
        </w:tabs>
        <w:spacing w:after="240" w:line="240" w:lineRule="auto"/>
        <w:ind w:hanging="1162"/>
      </w:pPr>
      <w:bookmarkStart w:id="43" w:name="_Toc348364679"/>
      <w:bookmarkStart w:id="44" w:name="_Toc491259078"/>
      <w:r>
        <w:lastRenderedPageBreak/>
        <w:t>5</w:t>
      </w:r>
      <w:r w:rsidR="004D372F" w:rsidRPr="005E4531">
        <w:t xml:space="preserve"> </w:t>
      </w:r>
      <w:r w:rsidR="004D372F" w:rsidRPr="005E4531">
        <w:tab/>
      </w:r>
      <w:r w:rsidR="008409AE" w:rsidRPr="005E4531">
        <w:t>R</w:t>
      </w:r>
      <w:r w:rsidR="009534EF" w:rsidRPr="005E4531">
        <w:t>elevantie van de organisatie</w:t>
      </w:r>
      <w:bookmarkEnd w:id="43"/>
      <w:bookmarkEnd w:id="44"/>
    </w:p>
    <w:p w14:paraId="4D974B9F" w14:textId="2E5E6CBE" w:rsidR="0031751C" w:rsidRDefault="0075398E" w:rsidP="001210BF">
      <w:r>
        <w:t>Dit hoofdstuk behandelt de relevantie van de organisatie voor de Nederlandse BHOS-prioriteiten. Hierbij wordt een driedeling gemaakt: een organisatie is relevant voor een BHOS-thema indien van direct belang voor een beleidsonderwerp, een organisatie is beperkt relevant als hij deels of indirect van belang is voor het beleidsonderwerp of een organisatie is niet relevant als hij niet van belang is voor het beleidsonderwerp. Ten aanzien van het thema gender geldt dat een organisatie ook als relevant is aangemerkt wanneer het gender in substantiële mate toepast als dwarsdoorsnijdend thema. Het presteren van de organisatie op de relevante thema’s wordt vervolgens gescoord op uitvoerende, normerende of coördinerende activiteiten op dat thema.</w:t>
      </w:r>
    </w:p>
    <w:p w14:paraId="777E9228" w14:textId="77777777" w:rsidR="001114D4" w:rsidRPr="005E4531" w:rsidRDefault="001114D4" w:rsidP="001210BF"/>
    <w:p w14:paraId="4D974BA0" w14:textId="2A55808D" w:rsidR="0027051F" w:rsidRPr="005E4531" w:rsidRDefault="00906D06" w:rsidP="0008255C">
      <w:pPr>
        <w:pStyle w:val="Heading2"/>
        <w:tabs>
          <w:tab w:val="left" w:pos="-1162"/>
          <w:tab w:val="left" w:pos="0"/>
        </w:tabs>
        <w:spacing w:line="240" w:lineRule="auto"/>
        <w:ind w:hanging="1134"/>
      </w:pPr>
      <w:bookmarkStart w:id="45" w:name="_Toc491259079"/>
      <w:r>
        <w:t>5</w:t>
      </w:r>
      <w:r w:rsidR="0027051F" w:rsidRPr="005E4531">
        <w:t xml:space="preserve">.1 </w:t>
      </w:r>
      <w:r w:rsidR="0008255C" w:rsidRPr="005E4531">
        <w:tab/>
      </w:r>
      <w:r w:rsidR="0027051F" w:rsidRPr="005E4531">
        <w:t>Relevantie voor Nederlandse BHOS-prioriteiten</w:t>
      </w:r>
      <w:bookmarkEnd w:id="45"/>
    </w:p>
    <w:p w14:paraId="267EF1F2" w14:textId="2E10B297" w:rsidR="005519BB" w:rsidRPr="005E4531" w:rsidRDefault="005519BB" w:rsidP="005519BB">
      <w:r w:rsidRPr="00FD436D">
        <w:rPr>
          <w:u w:val="single"/>
        </w:rPr>
        <w:t xml:space="preserve">Veiligheid en </w:t>
      </w:r>
      <w:r w:rsidR="00775414">
        <w:rPr>
          <w:u w:val="single"/>
        </w:rPr>
        <w:t>r</w:t>
      </w:r>
      <w:r w:rsidRPr="00FD436D">
        <w:rPr>
          <w:u w:val="single"/>
        </w:rPr>
        <w:t xml:space="preserve">echtsorde </w:t>
      </w:r>
    </w:p>
    <w:p w14:paraId="6F148E34" w14:textId="5FDDA58E" w:rsidR="005519BB" w:rsidRPr="00FD436D" w:rsidRDefault="005519BB" w:rsidP="005519BB">
      <w:pPr>
        <w:rPr>
          <w:u w:val="single"/>
        </w:rPr>
      </w:pPr>
      <w:r w:rsidRPr="00FD436D">
        <w:rPr>
          <w:i/>
        </w:rPr>
        <w:t>Relevant</w:t>
      </w:r>
      <w:r w:rsidRPr="005E4531">
        <w:t xml:space="preserve">. De aanpak van straffeloosheid, </w:t>
      </w:r>
      <w:r w:rsidRPr="005E4531">
        <w:rPr>
          <w:rFonts w:eastAsia="Arial Unicode MS"/>
          <w:szCs w:val="18"/>
        </w:rPr>
        <w:t xml:space="preserve">het versterken van </w:t>
      </w:r>
      <w:r w:rsidRPr="005E4531">
        <w:rPr>
          <w:rFonts w:eastAsia="Arial Unicode MS"/>
          <w:i/>
          <w:szCs w:val="18"/>
        </w:rPr>
        <w:t>accountability</w:t>
      </w:r>
      <w:r w:rsidRPr="005E4531">
        <w:rPr>
          <w:rFonts w:eastAsia="Arial Unicode MS"/>
          <w:szCs w:val="18"/>
        </w:rPr>
        <w:t xml:space="preserve"> en de </w:t>
      </w:r>
      <w:r w:rsidRPr="005E4531">
        <w:rPr>
          <w:rFonts w:eastAsia="Arial Unicode MS"/>
          <w:i/>
          <w:szCs w:val="18"/>
        </w:rPr>
        <w:t>rule of law</w:t>
      </w:r>
      <w:r w:rsidRPr="005E4531">
        <w:rPr>
          <w:rFonts w:eastAsia="Arial Unicode MS"/>
          <w:szCs w:val="18"/>
        </w:rPr>
        <w:t xml:space="preserve">, </w:t>
      </w:r>
      <w:r w:rsidRPr="005E4531">
        <w:rPr>
          <w:rFonts w:eastAsia="Arial Unicode MS"/>
          <w:i/>
          <w:szCs w:val="18"/>
        </w:rPr>
        <w:t>early warning</w:t>
      </w:r>
      <w:r w:rsidRPr="005E4531">
        <w:rPr>
          <w:rFonts w:eastAsia="Arial Unicode MS"/>
          <w:szCs w:val="18"/>
        </w:rPr>
        <w:t xml:space="preserve"> en bescherming van mensenrechten in conflictsituaties en gewelddadige en onveilige situaties </w:t>
      </w:r>
      <w:r w:rsidRPr="005E4531">
        <w:t>vormen kernprioriteiten van het OHCHR.</w:t>
      </w:r>
      <w:r w:rsidRPr="005E4531">
        <w:rPr>
          <w:rFonts w:hint="eastAsia"/>
          <w:lang w:eastAsia="zh-TW"/>
        </w:rPr>
        <w:t xml:space="preserve"> </w:t>
      </w:r>
      <w:r w:rsidRPr="005E4531">
        <w:t xml:space="preserve">Het OHCHR maakt daarbij o.a. gebruik van </w:t>
      </w:r>
      <w:r w:rsidRPr="005E4531">
        <w:rPr>
          <w:i/>
        </w:rPr>
        <w:t xml:space="preserve">Commissions of Inquiry. </w:t>
      </w:r>
      <w:r w:rsidRPr="005E4531">
        <w:t>OHCHR is steeds meer betrokken bij VN-vredesmissies en heeft een rol in de (weder)opbouw van de rechtsstaat na afloop van een gewapend conflict.</w:t>
      </w:r>
      <w:r w:rsidR="000C7B90">
        <w:t xml:space="preserve"> </w:t>
      </w:r>
      <w:r w:rsidRPr="005E4531">
        <w:br/>
      </w:r>
      <w:r w:rsidRPr="005E4531">
        <w:br/>
      </w:r>
      <w:r w:rsidRPr="00FD436D">
        <w:rPr>
          <w:u w:val="single"/>
        </w:rPr>
        <w:t>Gendergelijkheid</w:t>
      </w:r>
    </w:p>
    <w:p w14:paraId="02A05110" w14:textId="0B630436" w:rsidR="005519BB" w:rsidRPr="00FD436D" w:rsidRDefault="005519BB" w:rsidP="005519BB">
      <w:pPr>
        <w:rPr>
          <w:u w:val="single"/>
        </w:rPr>
      </w:pPr>
      <w:r w:rsidRPr="00FD436D">
        <w:rPr>
          <w:i/>
        </w:rPr>
        <w:t>Relevant</w:t>
      </w:r>
      <w:r w:rsidRPr="005E4531">
        <w:t>. Het tegengaan van alle vormen van discriminatie op welke grond dan ook is een kernactiviteit van OHCHR. Ook bestrijding van discriminatie op grond van seksuele oriëntatie en gender behoort hiertoe. OHCHR is de centrale organisatie in de VN die toeziet op juridische afspraken, standaarden en verdragen op dit gebied in alle landen. Er is een werkgroep ingesteld die onderzoek doet naar discriminatie van vrouwen. OHCHR heeft bovendien een vooraanstaande rol in het ‘mainstreamen’ van normen en standaarden op het gebied van non-discriminatie en gendergelijkheid in het gehele VN-systeem. Dit doe</w:t>
      </w:r>
      <w:r>
        <w:t>t</w:t>
      </w:r>
      <w:r w:rsidRPr="005E4531">
        <w:t xml:space="preserve"> zij bv. door het aanstellen van </w:t>
      </w:r>
      <w:r w:rsidRPr="00FD436D">
        <w:rPr>
          <w:i/>
        </w:rPr>
        <w:t>regional gender advisers</w:t>
      </w:r>
      <w:r w:rsidRPr="005E4531">
        <w:t xml:space="preserve">. Het OHCHR-kantoor in Geneve heeft een specifieke afdeling over </w:t>
      </w:r>
      <w:r w:rsidRPr="00FD436D">
        <w:rPr>
          <w:i/>
        </w:rPr>
        <w:t>Women’s Human Rights and Gender</w:t>
      </w:r>
      <w:r w:rsidRPr="005E4531">
        <w:t>.</w:t>
      </w:r>
      <w:r w:rsidR="000C7B90">
        <w:t xml:space="preserve"> </w:t>
      </w:r>
      <w:r w:rsidRPr="005E4531">
        <w:t xml:space="preserve">Daarnaast is OHCHR-secretariaat voor het VN-vrouwenrechtencomité. </w:t>
      </w:r>
      <w:r w:rsidRPr="005E4531">
        <w:br/>
      </w:r>
      <w:r w:rsidRPr="005E4531">
        <w:br/>
      </w:r>
      <w:r w:rsidRPr="00FD436D">
        <w:rPr>
          <w:u w:val="single"/>
        </w:rPr>
        <w:t>Seksuele en reproductieve gezondheid en rechten</w:t>
      </w:r>
    </w:p>
    <w:p w14:paraId="01C9C344" w14:textId="0CE43BAC" w:rsidR="00FD436D" w:rsidRDefault="005519BB" w:rsidP="000C7B90">
      <w:pPr>
        <w:ind w:right="-211"/>
      </w:pPr>
      <w:r w:rsidRPr="00FD436D">
        <w:rPr>
          <w:i/>
        </w:rPr>
        <w:t>Relevant</w:t>
      </w:r>
      <w:r w:rsidRPr="005E4531">
        <w:t xml:space="preserve">. Het OHCHR biedt ondersteuning aan zeven verdragsorganen, waar onder het Comité voor economische, sociale en culturele rechten. Dit verdragscomité richt zich onder meer op seksuele en reproductieve gezondheid en rechten. Daarnaast heeft de OHCHR enkele relevante projecten en initiatieven, bv. het </w:t>
      </w:r>
      <w:r w:rsidRPr="00FD436D">
        <w:rPr>
          <w:i/>
        </w:rPr>
        <w:t>Project for Improving Women’s and Children’s Rights and Health Outcomes</w:t>
      </w:r>
      <w:r w:rsidRPr="005E4531">
        <w:t xml:space="preserve"> en werkt OHCHR in verschillende landen ook aan specifieke relevante projecten, bv. op het gebied van </w:t>
      </w:r>
      <w:r w:rsidRPr="00FD436D">
        <w:rPr>
          <w:i/>
        </w:rPr>
        <w:t>Prevention of Sexual Violence in the Democratic Republic of Congo</w:t>
      </w:r>
      <w:r w:rsidRPr="005E4531">
        <w:t xml:space="preserve"> en het </w:t>
      </w:r>
      <w:r w:rsidRPr="00FD436D">
        <w:rPr>
          <w:i/>
        </w:rPr>
        <w:t>Gender Violence Project in Mali</w:t>
      </w:r>
      <w:r>
        <w:t>.</w:t>
      </w:r>
      <w:r w:rsidRPr="005E4531">
        <w:t xml:space="preserve"> </w:t>
      </w:r>
      <w:r w:rsidRPr="005E4531">
        <w:br/>
      </w:r>
    </w:p>
    <w:p w14:paraId="4D974BDA" w14:textId="16A6DB07" w:rsidR="005F4AF2" w:rsidRPr="00FD436D" w:rsidRDefault="005F4AF2" w:rsidP="00FD436D">
      <w:pPr>
        <w:rPr>
          <w:u w:val="single"/>
        </w:rPr>
      </w:pPr>
      <w:r w:rsidRPr="00FD436D">
        <w:rPr>
          <w:u w:val="single"/>
        </w:rPr>
        <w:t>Voedselzekerheid</w:t>
      </w:r>
    </w:p>
    <w:p w14:paraId="110CAF10" w14:textId="77777777" w:rsidR="00B142FC" w:rsidRDefault="005F4AF2" w:rsidP="005F4AF2">
      <w:r w:rsidRPr="00FD436D">
        <w:rPr>
          <w:i/>
        </w:rPr>
        <w:t>Beperkt relevant</w:t>
      </w:r>
      <w:r w:rsidRPr="005E4531">
        <w:t>. De Mensenrechtenraad heeft een Special</w:t>
      </w:r>
      <w:r w:rsidR="00CE0425">
        <w:t>e</w:t>
      </w:r>
      <w:r w:rsidRPr="005E4531">
        <w:t xml:space="preserve"> Rapporteur </w:t>
      </w:r>
      <w:r w:rsidRPr="005E4531">
        <w:rPr>
          <w:i/>
        </w:rPr>
        <w:t>Right to food</w:t>
      </w:r>
      <w:r w:rsidRPr="005E4531">
        <w:t xml:space="preserve"> ingesteld, die onderzoekt en rapporteert over de toegang in landen tot (kwalitatief en kwantitatief) voldoende voedsel met het oog op de mogelijkhei</w:t>
      </w:r>
      <w:r w:rsidR="005A6060" w:rsidRPr="005E4531">
        <w:t>d een waardig leven</w:t>
      </w:r>
      <w:r w:rsidR="00B142FC">
        <w:t xml:space="preserve"> te leiden. </w:t>
      </w:r>
      <w:r w:rsidR="00B142FC">
        <w:br/>
      </w:r>
    </w:p>
    <w:p w14:paraId="06F4EEDF" w14:textId="77777777" w:rsidR="00B142FC" w:rsidRDefault="00B142FC" w:rsidP="005F4AF2"/>
    <w:p w14:paraId="36B034B8" w14:textId="77777777" w:rsidR="00B142FC" w:rsidRDefault="00B142FC" w:rsidP="005F4AF2"/>
    <w:p w14:paraId="2B70C534" w14:textId="77777777" w:rsidR="00B142FC" w:rsidRDefault="00B142FC" w:rsidP="005F4AF2"/>
    <w:p w14:paraId="4D974BDB" w14:textId="6EAE2FE8" w:rsidR="005F4AF2" w:rsidRPr="00B142FC" w:rsidRDefault="005F4AF2" w:rsidP="005F4AF2">
      <w:pPr>
        <w:rPr>
          <w:u w:val="single"/>
        </w:rPr>
      </w:pPr>
      <w:r w:rsidRPr="00FD436D">
        <w:rPr>
          <w:u w:val="single"/>
        </w:rPr>
        <w:lastRenderedPageBreak/>
        <w:t>Water</w:t>
      </w:r>
    </w:p>
    <w:p w14:paraId="4D974BDC" w14:textId="112AEE90" w:rsidR="005F4AF2" w:rsidRPr="005E4531" w:rsidRDefault="005F4AF2" w:rsidP="005F4AF2">
      <w:r w:rsidRPr="00FD436D">
        <w:rPr>
          <w:i/>
        </w:rPr>
        <w:t>Beperkt relevant.</w:t>
      </w:r>
      <w:r w:rsidRPr="005E4531">
        <w:t xml:space="preserve"> De Mensenrechtenraad heeft een Special</w:t>
      </w:r>
      <w:r w:rsidR="00CE0425">
        <w:t>e</w:t>
      </w:r>
      <w:r w:rsidRPr="005E4531">
        <w:t xml:space="preserve"> Rapporteur voor R</w:t>
      </w:r>
      <w:r w:rsidRPr="005E4531">
        <w:rPr>
          <w:i/>
        </w:rPr>
        <w:t>ight to safe drinking water</w:t>
      </w:r>
      <w:r w:rsidRPr="005E4531">
        <w:t xml:space="preserve"> </w:t>
      </w:r>
      <w:r w:rsidR="00BE0836" w:rsidRPr="009D1D35">
        <w:rPr>
          <w:i/>
        </w:rPr>
        <w:t>and sanitation</w:t>
      </w:r>
      <w:r w:rsidR="00BE0836" w:rsidRPr="005E4531">
        <w:t xml:space="preserve"> </w:t>
      </w:r>
      <w:r w:rsidRPr="005E4531">
        <w:t xml:space="preserve">ingesteld die onderzoek doet naar de toegang tot betrouwbaar drinkwater en sanitatie. </w:t>
      </w:r>
    </w:p>
    <w:p w14:paraId="4D974BDF" w14:textId="2A9349A2" w:rsidR="007F462B" w:rsidRPr="00FD436D" w:rsidRDefault="007F462B" w:rsidP="005F4AF2">
      <w:pPr>
        <w:rPr>
          <w:i/>
        </w:rPr>
      </w:pPr>
      <w:r w:rsidRPr="005E4531">
        <w:br/>
      </w:r>
      <w:r w:rsidRPr="00FD436D">
        <w:rPr>
          <w:u w:val="single"/>
        </w:rPr>
        <w:t>Klimaat</w:t>
      </w:r>
    </w:p>
    <w:p w14:paraId="4D974BE0" w14:textId="33F6908A" w:rsidR="007F462B" w:rsidRPr="005E4531" w:rsidRDefault="00477598" w:rsidP="005F4AF2">
      <w:r w:rsidRPr="00A819A4">
        <w:rPr>
          <w:i/>
        </w:rPr>
        <w:t xml:space="preserve">Beperkt </w:t>
      </w:r>
      <w:r w:rsidR="007F462B" w:rsidRPr="00A819A4">
        <w:rPr>
          <w:i/>
        </w:rPr>
        <w:t>relevant</w:t>
      </w:r>
      <w:r w:rsidR="007F462B" w:rsidRPr="00A819A4">
        <w:t xml:space="preserve">. OHCHR richt zich specifiek richt op het behartigen van belangen van de minst ontwikkelde landen en </w:t>
      </w:r>
      <w:r w:rsidR="00AA0E58" w:rsidRPr="00A819A4">
        <w:rPr>
          <w:i/>
        </w:rPr>
        <w:t>Small Island Developing States</w:t>
      </w:r>
      <w:r w:rsidR="007F462B" w:rsidRPr="00A819A4">
        <w:t xml:space="preserve">, o.a. via het </w:t>
      </w:r>
      <w:r w:rsidR="00AA0E58" w:rsidRPr="00A819A4">
        <w:rPr>
          <w:i/>
        </w:rPr>
        <w:t>Trust Fund to Support the Participation of L</w:t>
      </w:r>
      <w:r w:rsidR="00417473" w:rsidRPr="00A819A4">
        <w:rPr>
          <w:i/>
        </w:rPr>
        <w:t xml:space="preserve">east developed countries and small island developing states in the work of the human rights council. </w:t>
      </w:r>
      <w:r w:rsidR="007F462B" w:rsidRPr="005E4531">
        <w:t>Via de Mensenrechtenraad kunnen de SIDS hun zorg over klimaatverandering en zeespiegelstijging uitdragen.</w:t>
      </w:r>
    </w:p>
    <w:p w14:paraId="4D974BE1" w14:textId="79412547" w:rsidR="007F462B" w:rsidRPr="00FD436D" w:rsidRDefault="00FD436D" w:rsidP="005F4AF2">
      <w:pPr>
        <w:rPr>
          <w:u w:val="single"/>
        </w:rPr>
      </w:pPr>
      <w:r>
        <w:br/>
      </w:r>
      <w:r w:rsidR="007F462B" w:rsidRPr="00FD436D">
        <w:rPr>
          <w:u w:val="single"/>
        </w:rPr>
        <w:t>Private sector</w:t>
      </w:r>
      <w:r w:rsidR="00775414">
        <w:rPr>
          <w:u w:val="single"/>
        </w:rPr>
        <w:t xml:space="preserve"> </w:t>
      </w:r>
      <w:r w:rsidR="007F462B" w:rsidRPr="00FD436D">
        <w:rPr>
          <w:u w:val="single"/>
        </w:rPr>
        <w:t>ontwikkeling</w:t>
      </w:r>
    </w:p>
    <w:p w14:paraId="4D974BE2" w14:textId="24629229" w:rsidR="007F462B" w:rsidRPr="005E4531" w:rsidRDefault="007F462B" w:rsidP="005F4AF2">
      <w:r w:rsidRPr="00FD436D">
        <w:rPr>
          <w:i/>
        </w:rPr>
        <w:t>Beperkt relevant</w:t>
      </w:r>
      <w:r w:rsidRPr="005E4531">
        <w:t>. Het OHCHR biedt ondersteuning aan de VN</w:t>
      </w:r>
      <w:r w:rsidR="008264D8">
        <w:t>-</w:t>
      </w:r>
      <w:r w:rsidRPr="005E4531">
        <w:t xml:space="preserve">Werkgroep </w:t>
      </w:r>
      <w:r w:rsidR="00AA0E58" w:rsidRPr="00FD436D">
        <w:rPr>
          <w:i/>
        </w:rPr>
        <w:t>Business and Human Rights</w:t>
      </w:r>
      <w:r w:rsidRPr="005E4531">
        <w:t xml:space="preserve">, die is ingesteld door de Mensenrechtenraad. De Werkgroep heeft, met financiële steun van Nederland, een handleiding opgesteld voor landen die een nationaal actieplan mensenrechten en bedrijfsleven willen opstellen. Nederland heeft al een dergelijk plan en is ervan overtuigd dat nationale actieplannen de beste manier zijn om de </w:t>
      </w:r>
      <w:r w:rsidR="00AA0E58" w:rsidRPr="00FD436D">
        <w:rPr>
          <w:i/>
        </w:rPr>
        <w:t>UN Guiding Principles on Business and Human Rights</w:t>
      </w:r>
      <w:r w:rsidRPr="005E4531">
        <w:t xml:space="preserve"> te implementeren. Het OHCHR heeft ook het </w:t>
      </w:r>
      <w:r w:rsidRPr="005E4531">
        <w:rPr>
          <w:i/>
        </w:rPr>
        <w:t>Accountability and Remedies Programme</w:t>
      </w:r>
      <w:r w:rsidRPr="005E4531">
        <w:t xml:space="preserve"> geïnitieerd. Dit programma moet uitmonden in concrete aanbevelingen aan VN-lidstaten om toegang tot het recht te verbeteren voor slachtoffers van mensenrechtenschendingen waar het bedrijfsleven bij betrokken is (de derde pijler van de </w:t>
      </w:r>
      <w:r w:rsidR="00AA0E58" w:rsidRPr="00FD436D">
        <w:rPr>
          <w:i/>
        </w:rPr>
        <w:t>Guiding Principles</w:t>
      </w:r>
      <w:r w:rsidRPr="005E4531">
        <w:t xml:space="preserve">). OHCHR is tot slot zelf voorstander van publiek-private samenwerking en werkt ook steeds meer samen met bedrijven als </w:t>
      </w:r>
      <w:r w:rsidR="0055367A" w:rsidRPr="005E4531">
        <w:t>potentiële</w:t>
      </w:r>
      <w:r w:rsidRPr="005E4531">
        <w:t xml:space="preserve"> donoren. </w:t>
      </w:r>
      <w:r w:rsidRPr="005E4531">
        <w:br/>
      </w:r>
      <w:r w:rsidRPr="005E4531">
        <w:br/>
      </w:r>
      <w:r w:rsidRPr="00FD436D">
        <w:rPr>
          <w:u w:val="single"/>
        </w:rPr>
        <w:t>Humanitaire hulp</w:t>
      </w:r>
      <w:r w:rsidRPr="005E4531">
        <w:t xml:space="preserve"> </w:t>
      </w:r>
    </w:p>
    <w:p w14:paraId="4D974BE3" w14:textId="2DA75556" w:rsidR="005F4AF2" w:rsidRPr="005E4531" w:rsidRDefault="00477598" w:rsidP="000C7B90">
      <w:pPr>
        <w:ind w:right="-211"/>
      </w:pPr>
      <w:r w:rsidRPr="00FD436D">
        <w:rPr>
          <w:i/>
        </w:rPr>
        <w:t xml:space="preserve">Beperkt </w:t>
      </w:r>
      <w:r w:rsidR="007F462B" w:rsidRPr="00FD436D">
        <w:rPr>
          <w:i/>
        </w:rPr>
        <w:t>relevant</w:t>
      </w:r>
      <w:r w:rsidR="007F462B" w:rsidRPr="005E4531">
        <w:t xml:space="preserve">. OHCHR is actief in veel landen waar humanitaire hulp aan de orde van de dag is en draagt door middel van mensenrechtenactiviteiten ook bij aan effectieve humanitaire hulpverlening. Zo is OHCHR actief in Jemen met een </w:t>
      </w:r>
      <w:r w:rsidR="006F55A2">
        <w:rPr>
          <w:i/>
        </w:rPr>
        <w:t>R</w:t>
      </w:r>
      <w:r w:rsidR="00AA0E58" w:rsidRPr="00FD436D">
        <w:rPr>
          <w:i/>
        </w:rPr>
        <w:t>elief and humanitarian assistance</w:t>
      </w:r>
      <w:r w:rsidR="00E14F4C">
        <w:t>-</w:t>
      </w:r>
      <w:r w:rsidR="007F462B" w:rsidRPr="005E4531">
        <w:t xml:space="preserve">project en werkt OHCHR in Myanmar met </w:t>
      </w:r>
      <w:r w:rsidR="00AA0E58" w:rsidRPr="00FD436D">
        <w:rPr>
          <w:i/>
        </w:rPr>
        <w:t>Humanitarian response in Rakhine and Kachin State</w:t>
      </w:r>
      <w:r w:rsidR="00E14F4C">
        <w:t>-</w:t>
      </w:r>
      <w:r w:rsidR="007F462B" w:rsidRPr="005E4531">
        <w:t>project</w:t>
      </w:r>
      <w:r w:rsidR="007F125E">
        <w:t>.</w:t>
      </w:r>
      <w:r w:rsidR="000C7B90">
        <w:t xml:space="preserve">  </w:t>
      </w:r>
    </w:p>
    <w:p w14:paraId="0001CE0F" w14:textId="77777777" w:rsidR="004F23A0" w:rsidRPr="005E4531" w:rsidRDefault="004F23A0" w:rsidP="004F23A0">
      <w:pPr>
        <w:ind w:left="227"/>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3"/>
        <w:gridCol w:w="1907"/>
        <w:gridCol w:w="1930"/>
        <w:gridCol w:w="1897"/>
      </w:tblGrid>
      <w:tr w:rsidR="005105A1" w:rsidRPr="005E4531" w14:paraId="322287F0" w14:textId="77777777" w:rsidTr="005105A1">
        <w:tc>
          <w:tcPr>
            <w:tcW w:w="7717" w:type="dxa"/>
            <w:gridSpan w:val="4"/>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305E7105" w14:textId="6888AFE3" w:rsidR="005105A1" w:rsidRPr="005E4531" w:rsidRDefault="005105A1" w:rsidP="005105A1">
            <w:pPr>
              <w:rPr>
                <w:b/>
              </w:rPr>
            </w:pPr>
            <w:r>
              <w:rPr>
                <w:b/>
              </w:rPr>
              <w:t>Relevantie voor de Nederlandse BHOS-prioriteiten</w:t>
            </w:r>
          </w:p>
        </w:tc>
      </w:tr>
      <w:tr w:rsidR="004F23A0" w:rsidRPr="005E4531" w14:paraId="2282E0CA" w14:textId="77777777" w:rsidTr="005105A1">
        <w:tc>
          <w:tcPr>
            <w:tcW w:w="1966" w:type="dxa"/>
            <w:tcBorders>
              <w:top w:val="single" w:sz="12" w:space="0" w:color="auto"/>
              <w:left w:val="single" w:sz="12" w:space="0" w:color="auto"/>
              <w:bottom w:val="single" w:sz="12" w:space="0" w:color="auto"/>
            </w:tcBorders>
            <w:shd w:val="clear" w:color="auto" w:fill="BFBFBF" w:themeFill="background1" w:themeFillShade="BF"/>
          </w:tcPr>
          <w:p w14:paraId="71C5C1B9" w14:textId="77777777" w:rsidR="004F23A0" w:rsidRPr="005E4531" w:rsidRDefault="004F23A0" w:rsidP="0000250C">
            <w:pPr>
              <w:rPr>
                <w:b/>
                <w:i/>
              </w:rPr>
            </w:pPr>
          </w:p>
        </w:tc>
        <w:tc>
          <w:tcPr>
            <w:tcW w:w="1913" w:type="dxa"/>
            <w:tcBorders>
              <w:top w:val="single" w:sz="12" w:space="0" w:color="auto"/>
              <w:bottom w:val="single" w:sz="12" w:space="0" w:color="auto"/>
            </w:tcBorders>
            <w:shd w:val="clear" w:color="auto" w:fill="BFBFBF" w:themeFill="background1" w:themeFillShade="BF"/>
          </w:tcPr>
          <w:p w14:paraId="4AA5D79C" w14:textId="77777777" w:rsidR="004F23A0" w:rsidRPr="005E4531" w:rsidRDefault="004F23A0" w:rsidP="0000250C">
            <w:pPr>
              <w:rPr>
                <w:b/>
              </w:rPr>
            </w:pPr>
            <w:r w:rsidRPr="005E4531">
              <w:rPr>
                <w:b/>
              </w:rPr>
              <w:t>Uitvoerend</w:t>
            </w:r>
          </w:p>
        </w:tc>
        <w:tc>
          <w:tcPr>
            <w:tcW w:w="1934" w:type="dxa"/>
            <w:tcBorders>
              <w:top w:val="single" w:sz="12" w:space="0" w:color="auto"/>
              <w:bottom w:val="single" w:sz="12" w:space="0" w:color="auto"/>
            </w:tcBorders>
            <w:shd w:val="clear" w:color="auto" w:fill="BFBFBF" w:themeFill="background1" w:themeFillShade="BF"/>
          </w:tcPr>
          <w:p w14:paraId="574D49D2" w14:textId="77777777" w:rsidR="004F23A0" w:rsidRPr="005E4531" w:rsidRDefault="004F23A0" w:rsidP="0000250C">
            <w:pPr>
              <w:rPr>
                <w:b/>
              </w:rPr>
            </w:pPr>
            <w:r w:rsidRPr="005E4531">
              <w:rPr>
                <w:b/>
              </w:rPr>
              <w:t>Coördinerend</w:t>
            </w:r>
          </w:p>
        </w:tc>
        <w:tc>
          <w:tcPr>
            <w:tcW w:w="1904" w:type="dxa"/>
            <w:tcBorders>
              <w:top w:val="single" w:sz="12" w:space="0" w:color="auto"/>
              <w:bottom w:val="single" w:sz="12" w:space="0" w:color="auto"/>
              <w:right w:val="single" w:sz="12" w:space="0" w:color="auto"/>
            </w:tcBorders>
            <w:shd w:val="clear" w:color="auto" w:fill="BFBFBF" w:themeFill="background1" w:themeFillShade="BF"/>
          </w:tcPr>
          <w:p w14:paraId="4B15E870" w14:textId="77777777" w:rsidR="004F23A0" w:rsidRPr="005E4531" w:rsidRDefault="004F23A0" w:rsidP="0000250C">
            <w:pPr>
              <w:rPr>
                <w:b/>
              </w:rPr>
            </w:pPr>
            <w:r w:rsidRPr="005E4531">
              <w:rPr>
                <w:b/>
              </w:rPr>
              <w:t>Normatief</w:t>
            </w:r>
          </w:p>
        </w:tc>
      </w:tr>
      <w:tr w:rsidR="004F23A0" w:rsidRPr="005E4531" w14:paraId="5A8FD24E" w14:textId="77777777" w:rsidTr="005105A1">
        <w:tc>
          <w:tcPr>
            <w:tcW w:w="1966" w:type="dxa"/>
            <w:tcBorders>
              <w:top w:val="single" w:sz="12" w:space="0" w:color="auto"/>
              <w:left w:val="single" w:sz="12" w:space="0" w:color="auto"/>
            </w:tcBorders>
            <w:shd w:val="clear" w:color="auto" w:fill="auto"/>
          </w:tcPr>
          <w:p w14:paraId="3880829E" w14:textId="77777777" w:rsidR="004F23A0" w:rsidRPr="005E4531" w:rsidRDefault="004F23A0" w:rsidP="0000250C">
            <w:r w:rsidRPr="005E4531">
              <w:t>Veiligheid en rechtsorde</w:t>
            </w:r>
          </w:p>
        </w:tc>
        <w:tc>
          <w:tcPr>
            <w:tcW w:w="1913" w:type="dxa"/>
            <w:tcBorders>
              <w:top w:val="single" w:sz="12" w:space="0" w:color="auto"/>
            </w:tcBorders>
            <w:shd w:val="clear" w:color="auto" w:fill="auto"/>
          </w:tcPr>
          <w:p w14:paraId="351FC463" w14:textId="77777777" w:rsidR="004F23A0" w:rsidRPr="005E4531" w:rsidRDefault="004F23A0" w:rsidP="0000250C"/>
        </w:tc>
        <w:tc>
          <w:tcPr>
            <w:tcW w:w="1934" w:type="dxa"/>
            <w:tcBorders>
              <w:top w:val="single" w:sz="12" w:space="0" w:color="auto"/>
            </w:tcBorders>
            <w:shd w:val="clear" w:color="auto" w:fill="auto"/>
          </w:tcPr>
          <w:p w14:paraId="1EBDCD67" w14:textId="77777777" w:rsidR="004F23A0" w:rsidRPr="005E4531" w:rsidRDefault="004F23A0" w:rsidP="0000250C"/>
        </w:tc>
        <w:tc>
          <w:tcPr>
            <w:tcW w:w="1904" w:type="dxa"/>
            <w:tcBorders>
              <w:top w:val="single" w:sz="12" w:space="0" w:color="auto"/>
              <w:right w:val="single" w:sz="12" w:space="0" w:color="auto"/>
            </w:tcBorders>
            <w:shd w:val="clear" w:color="auto" w:fill="auto"/>
          </w:tcPr>
          <w:p w14:paraId="727DAE2C" w14:textId="77777777" w:rsidR="004F23A0" w:rsidRPr="005E4531" w:rsidRDefault="004F23A0" w:rsidP="0000250C">
            <w:r w:rsidRPr="005E4531">
              <w:t>4</w:t>
            </w:r>
          </w:p>
        </w:tc>
      </w:tr>
      <w:tr w:rsidR="004F23A0" w:rsidRPr="005E4531" w14:paraId="3FC32609" w14:textId="77777777" w:rsidTr="005105A1">
        <w:tc>
          <w:tcPr>
            <w:tcW w:w="1966" w:type="dxa"/>
            <w:tcBorders>
              <w:left w:val="single" w:sz="12" w:space="0" w:color="auto"/>
            </w:tcBorders>
            <w:shd w:val="clear" w:color="auto" w:fill="auto"/>
          </w:tcPr>
          <w:p w14:paraId="5A83F225" w14:textId="5A8B8C41" w:rsidR="00906D06" w:rsidRPr="005E4531" w:rsidRDefault="004F23A0" w:rsidP="0000250C">
            <w:r w:rsidRPr="005E4531">
              <w:t>SRGR</w:t>
            </w:r>
          </w:p>
        </w:tc>
        <w:tc>
          <w:tcPr>
            <w:tcW w:w="1913" w:type="dxa"/>
            <w:shd w:val="clear" w:color="auto" w:fill="auto"/>
          </w:tcPr>
          <w:p w14:paraId="12ED604B" w14:textId="77777777" w:rsidR="004F23A0" w:rsidRPr="005E4531" w:rsidRDefault="004F23A0" w:rsidP="0000250C"/>
        </w:tc>
        <w:tc>
          <w:tcPr>
            <w:tcW w:w="1934" w:type="dxa"/>
            <w:shd w:val="clear" w:color="auto" w:fill="auto"/>
          </w:tcPr>
          <w:p w14:paraId="3793D179" w14:textId="77777777" w:rsidR="004F23A0" w:rsidRPr="005E4531" w:rsidRDefault="004F23A0" w:rsidP="0000250C"/>
        </w:tc>
        <w:tc>
          <w:tcPr>
            <w:tcW w:w="1904" w:type="dxa"/>
            <w:tcBorders>
              <w:right w:val="single" w:sz="12" w:space="0" w:color="auto"/>
            </w:tcBorders>
            <w:shd w:val="clear" w:color="auto" w:fill="auto"/>
          </w:tcPr>
          <w:p w14:paraId="3CD7D996" w14:textId="77777777" w:rsidR="004F23A0" w:rsidRPr="005E4531" w:rsidRDefault="004F23A0" w:rsidP="0000250C">
            <w:r w:rsidRPr="005E4531">
              <w:t>4</w:t>
            </w:r>
          </w:p>
        </w:tc>
      </w:tr>
      <w:tr w:rsidR="004F23A0" w:rsidRPr="005E4531" w14:paraId="729624CF" w14:textId="77777777" w:rsidTr="005105A1">
        <w:tc>
          <w:tcPr>
            <w:tcW w:w="1966" w:type="dxa"/>
            <w:tcBorders>
              <w:left w:val="single" w:sz="12" w:space="0" w:color="auto"/>
              <w:bottom w:val="single" w:sz="12" w:space="0" w:color="auto"/>
            </w:tcBorders>
            <w:shd w:val="clear" w:color="auto" w:fill="auto"/>
          </w:tcPr>
          <w:p w14:paraId="3C96F93E" w14:textId="75EA1D1D" w:rsidR="00906D06" w:rsidRPr="005E4531" w:rsidRDefault="004F23A0" w:rsidP="0000250C">
            <w:r w:rsidRPr="005E4531">
              <w:t>Gendergelijkheid</w:t>
            </w:r>
          </w:p>
        </w:tc>
        <w:tc>
          <w:tcPr>
            <w:tcW w:w="1913" w:type="dxa"/>
            <w:tcBorders>
              <w:bottom w:val="single" w:sz="12" w:space="0" w:color="auto"/>
            </w:tcBorders>
            <w:shd w:val="clear" w:color="auto" w:fill="auto"/>
          </w:tcPr>
          <w:p w14:paraId="06E48E6D" w14:textId="77777777" w:rsidR="004F23A0" w:rsidRPr="005E4531" w:rsidRDefault="004F23A0" w:rsidP="0000250C"/>
        </w:tc>
        <w:tc>
          <w:tcPr>
            <w:tcW w:w="1934" w:type="dxa"/>
            <w:tcBorders>
              <w:bottom w:val="single" w:sz="12" w:space="0" w:color="auto"/>
            </w:tcBorders>
            <w:shd w:val="clear" w:color="auto" w:fill="auto"/>
          </w:tcPr>
          <w:p w14:paraId="0938A958" w14:textId="77777777" w:rsidR="004F23A0" w:rsidRPr="005E4531" w:rsidRDefault="004F23A0" w:rsidP="0000250C">
            <w:r w:rsidRPr="005E4531">
              <w:t>4</w:t>
            </w:r>
          </w:p>
        </w:tc>
        <w:tc>
          <w:tcPr>
            <w:tcW w:w="1904" w:type="dxa"/>
            <w:tcBorders>
              <w:bottom w:val="single" w:sz="12" w:space="0" w:color="auto"/>
              <w:right w:val="single" w:sz="12" w:space="0" w:color="auto"/>
            </w:tcBorders>
            <w:shd w:val="clear" w:color="auto" w:fill="auto"/>
          </w:tcPr>
          <w:p w14:paraId="5DC53BDB" w14:textId="77777777" w:rsidR="004F23A0" w:rsidRPr="005E4531" w:rsidRDefault="004F23A0" w:rsidP="0000250C">
            <w:r w:rsidRPr="005E4531">
              <w:t>4</w:t>
            </w:r>
          </w:p>
        </w:tc>
      </w:tr>
    </w:tbl>
    <w:p w14:paraId="354BEF97" w14:textId="77777777" w:rsidR="00FD436D" w:rsidRDefault="00FD436D" w:rsidP="004F23A0"/>
    <w:p w14:paraId="4D974BE5" w14:textId="2C4EA072" w:rsidR="008624F0" w:rsidRPr="005E4531" w:rsidRDefault="00906D06" w:rsidP="008624F0">
      <w:pPr>
        <w:pStyle w:val="Heading2"/>
        <w:tabs>
          <w:tab w:val="left" w:pos="-1162"/>
          <w:tab w:val="left" w:pos="0"/>
          <w:tab w:val="num" w:pos="1160"/>
        </w:tabs>
        <w:spacing w:line="240" w:lineRule="auto"/>
        <w:ind w:hanging="1162"/>
      </w:pPr>
      <w:bookmarkStart w:id="46" w:name="_Toc410140912"/>
      <w:bookmarkStart w:id="47" w:name="_Toc491259080"/>
      <w:r>
        <w:t>5</w:t>
      </w:r>
      <w:r w:rsidR="003331DA" w:rsidRPr="005E4531">
        <w:t>.</w:t>
      </w:r>
      <w:r w:rsidR="00195B13" w:rsidRPr="005E4531">
        <w:t>2</w:t>
      </w:r>
      <w:r w:rsidR="008624F0" w:rsidRPr="005E4531">
        <w:tab/>
        <w:t>Overige relevantie</w:t>
      </w:r>
      <w:bookmarkEnd w:id="46"/>
      <w:bookmarkEnd w:id="47"/>
      <w:r w:rsidR="0057402A" w:rsidRPr="005E4531">
        <w:t xml:space="preserve"> </w:t>
      </w:r>
    </w:p>
    <w:p w14:paraId="4D974BE8" w14:textId="09969994" w:rsidR="00D6357E" w:rsidRPr="005E4531" w:rsidRDefault="00D6357E" w:rsidP="00D6357E">
      <w:pPr>
        <w:rPr>
          <w:rFonts w:eastAsia="Arial Unicode MS"/>
          <w:szCs w:val="18"/>
        </w:rPr>
      </w:pPr>
      <w:r w:rsidRPr="005E4531">
        <w:rPr>
          <w:rFonts w:eastAsia="Arial Unicode MS"/>
          <w:szCs w:val="18"/>
        </w:rPr>
        <w:t xml:space="preserve">Mensenrechten is een van de drie pijlers van het Nederlands buitenlands beleid. Het OHCHR is voor Nederland een belangrijke partner bij het bevorderen van politieke, economische, sociale en culturele rechten. </w:t>
      </w:r>
      <w:r w:rsidRPr="005E4531">
        <w:t>Daarnaast richt het OHCHR zich op de landen waar de overheid faalt in het beschermen van de meest kwetsbaren van de samenleving en maakt mede daardoor sociale en economische emancipatie mogelijk.</w:t>
      </w:r>
      <w:r w:rsidRPr="005E4531">
        <w:rPr>
          <w:rFonts w:eastAsia="Arial Unicode MS"/>
          <w:szCs w:val="18"/>
        </w:rPr>
        <w:t xml:space="preserve"> </w:t>
      </w:r>
    </w:p>
    <w:p w14:paraId="4D974BE9" w14:textId="77777777" w:rsidR="00D6357E" w:rsidRPr="005E4531" w:rsidRDefault="00D6357E" w:rsidP="00D6357E">
      <w:pPr>
        <w:rPr>
          <w:szCs w:val="18"/>
        </w:rPr>
      </w:pPr>
    </w:p>
    <w:p w14:paraId="4D974BEA" w14:textId="77777777" w:rsidR="00D6357E" w:rsidRPr="005E4531" w:rsidRDefault="00D6357E" w:rsidP="00D6357E">
      <w:pPr>
        <w:rPr>
          <w:rFonts w:cs="Calibri"/>
          <w:szCs w:val="18"/>
        </w:rPr>
      </w:pPr>
      <w:r w:rsidRPr="005E4531">
        <w:rPr>
          <w:szCs w:val="18"/>
        </w:rPr>
        <w:t xml:space="preserve">De Mensenrechtenraad vormt een belangrijk platform voor het Nederlandse mensenrechtenbeleid. </w:t>
      </w:r>
      <w:r w:rsidRPr="005E4531">
        <w:rPr>
          <w:rFonts w:cs="Calibri"/>
          <w:szCs w:val="18"/>
        </w:rPr>
        <w:t xml:space="preserve">Een zeer krachtig instrument van de mensenrechtenraad is de mogelijkheid </w:t>
      </w:r>
      <w:r w:rsidR="00AA0E58" w:rsidRPr="00FD436D">
        <w:rPr>
          <w:rFonts w:cs="Calibri"/>
          <w:i/>
          <w:szCs w:val="18"/>
        </w:rPr>
        <w:t>Commisions of Inquiry</w:t>
      </w:r>
      <w:r w:rsidRPr="005E4531">
        <w:rPr>
          <w:rFonts w:cs="Calibri"/>
          <w:szCs w:val="18"/>
        </w:rPr>
        <w:t xml:space="preserve"> en Speciale Rapporteurs in te stellen die </w:t>
      </w:r>
      <w:r w:rsidRPr="005E4531">
        <w:rPr>
          <w:rFonts w:cs="Calibri"/>
          <w:szCs w:val="18"/>
        </w:rPr>
        <w:lastRenderedPageBreak/>
        <w:t>mensenrechtenschendingen in kaart brengen en daarover rapporteren. Hiermee krijgen mensenrechtensituaties in landen brede bekendheid en kunnen ze hoog op de internationale agenda komen.</w:t>
      </w:r>
    </w:p>
    <w:p w14:paraId="4D974BEB" w14:textId="77777777" w:rsidR="003852B7" w:rsidRPr="005E4531" w:rsidRDefault="003852B7" w:rsidP="00D6357E">
      <w:pPr>
        <w:rPr>
          <w:rFonts w:cs="Calibri"/>
          <w:szCs w:val="18"/>
        </w:rPr>
      </w:pPr>
    </w:p>
    <w:p w14:paraId="4D974BEC" w14:textId="77777777" w:rsidR="00D6357E" w:rsidRPr="005E4531" w:rsidRDefault="00D6357E" w:rsidP="00D6357E">
      <w:r w:rsidRPr="005E4531">
        <w:t xml:space="preserve">Een van de taken die de Raad uitvoert is het regelmatig (per land éénmaal per viereneenhalf jaar) beoordelen van en rapporteren over de mensenrechtensituatie van de VN-lidstaten, de </w:t>
      </w:r>
      <w:r w:rsidRPr="005E4531">
        <w:rPr>
          <w:i/>
        </w:rPr>
        <w:t>Universal Periodic Review</w:t>
      </w:r>
      <w:r w:rsidRPr="005E4531">
        <w:t xml:space="preserve">. </w:t>
      </w:r>
    </w:p>
    <w:p w14:paraId="4D974BED" w14:textId="77777777" w:rsidR="002B7582" w:rsidRPr="005E4531" w:rsidRDefault="002B7582" w:rsidP="002B7582"/>
    <w:p w14:paraId="4D974BEE" w14:textId="77777777" w:rsidR="00300D9E" w:rsidRPr="005E4531" w:rsidRDefault="00300D9E" w:rsidP="00D94DB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7"/>
        <w:gridCol w:w="1916"/>
        <w:gridCol w:w="1936"/>
        <w:gridCol w:w="1908"/>
      </w:tblGrid>
      <w:tr w:rsidR="005105A1" w:rsidRPr="005E4531" w14:paraId="1939E901" w14:textId="77777777" w:rsidTr="000C7B90">
        <w:tc>
          <w:tcPr>
            <w:tcW w:w="7697" w:type="dxa"/>
            <w:gridSpan w:val="4"/>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7FD13DB9" w14:textId="18C46CB6" w:rsidR="005105A1" w:rsidRPr="005105A1" w:rsidRDefault="005105A1" w:rsidP="00D67F8F">
            <w:pPr>
              <w:rPr>
                <w:i/>
              </w:rPr>
            </w:pPr>
            <w:r>
              <w:rPr>
                <w:b/>
              </w:rPr>
              <w:t>Overige relevantie</w:t>
            </w:r>
          </w:p>
        </w:tc>
      </w:tr>
      <w:tr w:rsidR="005E4531" w:rsidRPr="005E4531" w14:paraId="4D974BF3" w14:textId="77777777" w:rsidTr="005105A1">
        <w:tc>
          <w:tcPr>
            <w:tcW w:w="1937" w:type="dxa"/>
            <w:tcBorders>
              <w:top w:val="single" w:sz="12" w:space="0" w:color="auto"/>
              <w:left w:val="single" w:sz="12" w:space="0" w:color="auto"/>
              <w:bottom w:val="single" w:sz="12" w:space="0" w:color="auto"/>
            </w:tcBorders>
            <w:shd w:val="clear" w:color="auto" w:fill="BFBFBF" w:themeFill="background1" w:themeFillShade="BF"/>
          </w:tcPr>
          <w:p w14:paraId="4D974BEF" w14:textId="1FDFD652" w:rsidR="00587797" w:rsidRPr="005E4531" w:rsidRDefault="00587797" w:rsidP="00755248">
            <w:pPr>
              <w:rPr>
                <w:i/>
              </w:rPr>
            </w:pPr>
          </w:p>
        </w:tc>
        <w:tc>
          <w:tcPr>
            <w:tcW w:w="1916" w:type="dxa"/>
            <w:tcBorders>
              <w:top w:val="single" w:sz="12" w:space="0" w:color="auto"/>
              <w:bottom w:val="single" w:sz="12" w:space="0" w:color="auto"/>
            </w:tcBorders>
            <w:shd w:val="clear" w:color="auto" w:fill="BFBFBF" w:themeFill="background1" w:themeFillShade="BF"/>
          </w:tcPr>
          <w:p w14:paraId="4D974BF0" w14:textId="77777777" w:rsidR="00587797" w:rsidRPr="005E4531" w:rsidRDefault="00587797" w:rsidP="00D67F8F">
            <w:pPr>
              <w:rPr>
                <w:b/>
              </w:rPr>
            </w:pPr>
            <w:r w:rsidRPr="005E4531">
              <w:rPr>
                <w:b/>
              </w:rPr>
              <w:t>Uitvoerend</w:t>
            </w:r>
          </w:p>
        </w:tc>
        <w:tc>
          <w:tcPr>
            <w:tcW w:w="1936" w:type="dxa"/>
            <w:tcBorders>
              <w:top w:val="single" w:sz="12" w:space="0" w:color="auto"/>
              <w:bottom w:val="single" w:sz="12" w:space="0" w:color="auto"/>
            </w:tcBorders>
            <w:shd w:val="clear" w:color="auto" w:fill="BFBFBF" w:themeFill="background1" w:themeFillShade="BF"/>
          </w:tcPr>
          <w:p w14:paraId="4D974BF1" w14:textId="77777777" w:rsidR="00587797" w:rsidRPr="005E4531" w:rsidRDefault="00587797" w:rsidP="00D67F8F">
            <w:pPr>
              <w:rPr>
                <w:b/>
              </w:rPr>
            </w:pPr>
            <w:r w:rsidRPr="005E4531">
              <w:rPr>
                <w:b/>
              </w:rPr>
              <w:t>Coördinerend</w:t>
            </w:r>
          </w:p>
        </w:tc>
        <w:tc>
          <w:tcPr>
            <w:tcW w:w="1908" w:type="dxa"/>
            <w:tcBorders>
              <w:top w:val="single" w:sz="12" w:space="0" w:color="auto"/>
              <w:bottom w:val="single" w:sz="12" w:space="0" w:color="auto"/>
              <w:right w:val="single" w:sz="12" w:space="0" w:color="auto"/>
            </w:tcBorders>
            <w:shd w:val="clear" w:color="auto" w:fill="BFBFBF" w:themeFill="background1" w:themeFillShade="BF"/>
          </w:tcPr>
          <w:p w14:paraId="4D974BF2" w14:textId="77777777" w:rsidR="00587797" w:rsidRPr="005E4531" w:rsidRDefault="00587797" w:rsidP="00D67F8F">
            <w:pPr>
              <w:rPr>
                <w:b/>
              </w:rPr>
            </w:pPr>
            <w:r w:rsidRPr="005E4531">
              <w:rPr>
                <w:b/>
              </w:rPr>
              <w:t>Normatief</w:t>
            </w:r>
          </w:p>
        </w:tc>
      </w:tr>
      <w:tr w:rsidR="005E4531" w:rsidRPr="005E4531" w14:paraId="4D974BF8" w14:textId="77777777" w:rsidTr="00F63269">
        <w:tc>
          <w:tcPr>
            <w:tcW w:w="1937" w:type="dxa"/>
            <w:tcBorders>
              <w:top w:val="single" w:sz="12" w:space="0" w:color="auto"/>
              <w:left w:val="single" w:sz="12" w:space="0" w:color="auto"/>
              <w:bottom w:val="single" w:sz="12" w:space="0" w:color="auto"/>
            </w:tcBorders>
            <w:shd w:val="clear" w:color="auto" w:fill="auto"/>
          </w:tcPr>
          <w:p w14:paraId="4D974BF4" w14:textId="77777777" w:rsidR="00587797" w:rsidRPr="005E4531" w:rsidRDefault="00CF62BD" w:rsidP="00CF62BD">
            <w:r w:rsidRPr="005E4531">
              <w:t>Bescherming</w:t>
            </w:r>
            <w:r w:rsidR="00DB0FA8" w:rsidRPr="005E4531">
              <w:t xml:space="preserve"> mensenrechten </w:t>
            </w:r>
          </w:p>
        </w:tc>
        <w:tc>
          <w:tcPr>
            <w:tcW w:w="1916" w:type="dxa"/>
            <w:tcBorders>
              <w:top w:val="single" w:sz="12" w:space="0" w:color="auto"/>
              <w:bottom w:val="single" w:sz="12" w:space="0" w:color="auto"/>
            </w:tcBorders>
            <w:shd w:val="clear" w:color="auto" w:fill="auto"/>
          </w:tcPr>
          <w:p w14:paraId="4D974BF5" w14:textId="77777777" w:rsidR="00587797" w:rsidRPr="005E4531" w:rsidRDefault="00DB0FA8" w:rsidP="00D67F8F">
            <w:r w:rsidRPr="005E4531">
              <w:t>4</w:t>
            </w:r>
          </w:p>
        </w:tc>
        <w:tc>
          <w:tcPr>
            <w:tcW w:w="1936" w:type="dxa"/>
            <w:tcBorders>
              <w:top w:val="single" w:sz="12" w:space="0" w:color="auto"/>
              <w:bottom w:val="single" w:sz="12" w:space="0" w:color="auto"/>
            </w:tcBorders>
            <w:shd w:val="clear" w:color="auto" w:fill="auto"/>
          </w:tcPr>
          <w:p w14:paraId="4D974BF6" w14:textId="77777777" w:rsidR="00587797" w:rsidRPr="005E4531" w:rsidRDefault="00587797" w:rsidP="00D67F8F"/>
        </w:tc>
        <w:tc>
          <w:tcPr>
            <w:tcW w:w="1908" w:type="dxa"/>
            <w:tcBorders>
              <w:top w:val="single" w:sz="12" w:space="0" w:color="auto"/>
              <w:bottom w:val="single" w:sz="12" w:space="0" w:color="auto"/>
              <w:right w:val="single" w:sz="12" w:space="0" w:color="auto"/>
            </w:tcBorders>
            <w:shd w:val="clear" w:color="auto" w:fill="auto"/>
          </w:tcPr>
          <w:p w14:paraId="4D974BF7" w14:textId="77777777" w:rsidR="00587797" w:rsidRPr="005E4531" w:rsidRDefault="00DB0FA8" w:rsidP="00D67F8F">
            <w:r w:rsidRPr="005E4531">
              <w:t>4</w:t>
            </w:r>
          </w:p>
        </w:tc>
      </w:tr>
    </w:tbl>
    <w:p w14:paraId="6FF5E55F" w14:textId="34BA239F" w:rsidR="00906D06" w:rsidRDefault="00906D06" w:rsidP="00FD436D">
      <w:pPr>
        <w:ind w:firstLine="227"/>
      </w:pPr>
    </w:p>
    <w:p w14:paraId="79F7DBDA" w14:textId="7EDEDA6E" w:rsidR="00FD436D" w:rsidRDefault="00FD436D" w:rsidP="000C7B90">
      <w:pPr>
        <w:spacing w:line="240" w:lineRule="auto"/>
      </w:pPr>
    </w:p>
    <w:sectPr w:rsidR="00FD436D" w:rsidSect="00FD4608">
      <w:endnotePr>
        <w:numFmt w:val="decimal"/>
      </w:endnotePr>
      <w:type w:val="continuous"/>
      <w:pgSz w:w="11906" w:h="16838" w:code="9"/>
      <w:pgMar w:top="2518" w:right="958" w:bottom="1077" w:left="3221" w:header="199" w:footer="65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D7591C" w14:textId="77777777" w:rsidR="00794FE6" w:rsidRDefault="00794FE6">
      <w:r>
        <w:separator/>
      </w:r>
    </w:p>
    <w:p w14:paraId="45823F71" w14:textId="77777777" w:rsidR="00794FE6" w:rsidRDefault="00794FE6"/>
    <w:p w14:paraId="30C8BBB3" w14:textId="77777777" w:rsidR="00794FE6" w:rsidRDefault="00794FE6"/>
  </w:endnote>
  <w:endnote w:type="continuationSeparator" w:id="0">
    <w:p w14:paraId="61701DD1" w14:textId="77777777" w:rsidR="00794FE6" w:rsidRDefault="00794FE6">
      <w:r>
        <w:continuationSeparator/>
      </w:r>
    </w:p>
    <w:p w14:paraId="2534D1D7" w14:textId="77777777" w:rsidR="00794FE6" w:rsidRDefault="00794FE6"/>
    <w:p w14:paraId="7662E2B2" w14:textId="77777777" w:rsidR="00794FE6" w:rsidRDefault="00794FE6"/>
  </w:endnote>
  <w:endnote w:type="continuationNotice" w:id="1">
    <w:p w14:paraId="3B37687B" w14:textId="77777777" w:rsidR="00794FE6" w:rsidRDefault="00794FE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KIX Barcode">
    <w:altName w:val="Courier New"/>
    <w:charset w:val="00"/>
    <w:family w:val="swiss"/>
    <w:pitch w:val="variable"/>
    <w:sig w:usb0="8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HJECK C+ Univers">
    <w:altName w:val="Arial"/>
    <w:panose1 w:val="00000000000000000000"/>
    <w:charset w:val="00"/>
    <w:family w:val="swiss"/>
    <w:notTrueType/>
    <w:pitch w:val="default"/>
    <w:sig w:usb0="00000003" w:usb1="00000000" w:usb2="00000000" w:usb3="00000000" w:csb0="00000001" w:csb1="00000000"/>
  </w:font>
  <w:font w:name="DengXian">
    <w:altName w:val="等线"/>
    <w:panose1 w:val="02010600030101010101"/>
    <w:charset w:val="86"/>
    <w:family w:val="modern"/>
    <w:pitch w:val="fixed"/>
    <w:sig w:usb0="00000001" w:usb1="080E0000" w:usb2="00000010" w:usb3="00000000" w:csb0="00040000" w:csb1="00000000"/>
  </w:font>
  <w:font w:name="Arial Unicode MS">
    <w:panose1 w:val="020B0604020202020204"/>
    <w:charset w:val="80"/>
    <w:family w:val="swiss"/>
    <w:pitch w:val="variable"/>
    <w:sig w:usb0="F7FFAFFF" w:usb1="E9DFFFFF" w:usb2="0000003F" w:usb3="00000000" w:csb0="003F01FF" w:csb1="00000000"/>
  </w:font>
  <w:font w:name="Segoe UI Emoji">
    <w:panose1 w:val="020B0502040204020203"/>
    <w:charset w:val="00"/>
    <w:family w:val="swiss"/>
    <w:pitch w:val="variable"/>
    <w:sig w:usb0="00000003" w:usb1="02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7652" w:type="dxa"/>
      <w:tblLayout w:type="fixed"/>
      <w:tblCellMar>
        <w:left w:w="0" w:type="dxa"/>
        <w:right w:w="0" w:type="dxa"/>
      </w:tblCellMar>
      <w:tblLook w:val="0000" w:firstRow="0" w:lastRow="0" w:firstColumn="0" w:lastColumn="0" w:noHBand="0" w:noVBand="0"/>
    </w:tblPr>
    <w:tblGrid>
      <w:gridCol w:w="6179"/>
      <w:gridCol w:w="1374"/>
      <w:gridCol w:w="99"/>
    </w:tblGrid>
    <w:tr w:rsidR="00794FE6" w:rsidRPr="00785F18" w14:paraId="4D974CFC" w14:textId="77777777" w:rsidTr="003B518B">
      <w:trPr>
        <w:trHeight w:hRule="exact" w:val="240"/>
      </w:trPr>
      <w:tc>
        <w:tcPr>
          <w:tcW w:w="7752" w:type="dxa"/>
          <w:gridSpan w:val="3"/>
          <w:shd w:val="clear" w:color="auto" w:fill="auto"/>
        </w:tcPr>
        <w:p w14:paraId="4D974CFB" w14:textId="77777777" w:rsidR="00794FE6" w:rsidRPr="00785F18" w:rsidRDefault="00794FE6">
          <w:pPr>
            <w:spacing w:line="240" w:lineRule="auto"/>
          </w:pPr>
        </w:p>
      </w:tc>
    </w:tr>
    <w:tr w:rsidR="00794FE6" w:rsidRPr="00785F18" w14:paraId="4D974CFF" w14:textId="77777777" w:rsidTr="003B518B">
      <w:trPr>
        <w:gridAfter w:val="1"/>
        <w:wAfter w:w="99" w:type="dxa"/>
        <w:trHeight w:hRule="exact" w:val="240"/>
      </w:trPr>
      <w:tc>
        <w:tcPr>
          <w:tcW w:w="6260" w:type="dxa"/>
          <w:shd w:val="clear" w:color="auto" w:fill="auto"/>
        </w:tcPr>
        <w:p w14:paraId="4D974CFD" w14:textId="77777777" w:rsidR="00794FE6" w:rsidRPr="00785F18" w:rsidRDefault="00794FE6" w:rsidP="003B518B">
          <w:pPr>
            <w:pStyle w:val="Huisstijl-Paginanummering"/>
            <w:rPr>
              <w:rStyle w:val="Huisstijl-Rubricering"/>
            </w:rPr>
          </w:pPr>
          <w:fldSimple w:instr=" DOCPROPERTY  L_PAGE  \* MERGEFORMAT ">
            <w:r>
              <w:t>Pagina</w:t>
            </w:r>
          </w:fldSimple>
          <w:r w:rsidRPr="00785F18">
            <w:t xml:space="preserve"> </w:t>
          </w:r>
          <w:r>
            <w:fldChar w:fldCharType="begin"/>
          </w:r>
          <w:r>
            <w:instrText xml:space="preserve"> PAGE   \* MERGEFORMAT </w:instrText>
          </w:r>
          <w:r>
            <w:fldChar w:fldCharType="separate"/>
          </w:r>
          <w:r>
            <w:t>22</w:t>
          </w:r>
          <w:r>
            <w:fldChar w:fldCharType="end"/>
          </w:r>
          <w:r w:rsidRPr="00785F18">
            <w:t xml:space="preserve"> </w:t>
          </w:r>
          <w:fldSimple w:instr=" DOCPROPERTY  L_PAGEOF  \* MERGEFORMAT ">
            <w:r>
              <w:t>van</w:t>
            </w:r>
          </w:fldSimple>
          <w:r w:rsidRPr="00785F18">
            <w:t xml:space="preserve"> </w:t>
          </w:r>
          <w:fldSimple w:instr=" NUMPAGES   \* MERGEFORMAT ">
            <w:r>
              <w:t>22</w:t>
            </w:r>
          </w:fldSimple>
        </w:p>
      </w:tc>
      <w:tc>
        <w:tcPr>
          <w:tcW w:w="1392" w:type="dxa"/>
        </w:tcPr>
        <w:p w14:paraId="4D974CFE" w14:textId="77777777" w:rsidR="00794FE6" w:rsidRPr="00785F18" w:rsidRDefault="00794FE6" w:rsidP="003B518B">
          <w:pPr>
            <w:pStyle w:val="Huisstijl-Paginanummering"/>
            <w:jc w:val="right"/>
          </w:pPr>
        </w:p>
      </w:tc>
    </w:tr>
  </w:tbl>
  <w:p w14:paraId="4D974D00" w14:textId="77777777" w:rsidR="00794FE6" w:rsidRPr="00785F18" w:rsidRDefault="00794FE6" w:rsidP="003B518B">
    <w:pPr>
      <w:spacing w:line="240" w:lineRule="auto"/>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525288523"/>
      <w:docPartObj>
        <w:docPartGallery w:val="Page Numbers (Bottom of Page)"/>
        <w:docPartUnique/>
      </w:docPartObj>
    </w:sdtPr>
    <w:sdtContent>
      <w:sdt>
        <w:sdtPr>
          <w:rPr>
            <w:sz w:val="16"/>
            <w:szCs w:val="16"/>
          </w:rPr>
          <w:id w:val="-1769616900"/>
          <w:docPartObj>
            <w:docPartGallery w:val="Page Numbers (Top of Page)"/>
            <w:docPartUnique/>
          </w:docPartObj>
        </w:sdtPr>
        <w:sdtContent>
          <w:p w14:paraId="07817981" w14:textId="625F4A6D" w:rsidR="00794FE6" w:rsidRPr="00794FE6" w:rsidRDefault="00794FE6">
            <w:pPr>
              <w:pStyle w:val="Footer"/>
              <w:jc w:val="right"/>
              <w:rPr>
                <w:sz w:val="16"/>
                <w:szCs w:val="16"/>
              </w:rPr>
            </w:pPr>
            <w:r w:rsidRPr="00794FE6">
              <w:rPr>
                <w:sz w:val="16"/>
                <w:szCs w:val="16"/>
              </w:rPr>
              <w:t xml:space="preserve">Page </w:t>
            </w:r>
            <w:r w:rsidRPr="00794FE6">
              <w:rPr>
                <w:bCs/>
                <w:sz w:val="16"/>
                <w:szCs w:val="16"/>
              </w:rPr>
              <w:fldChar w:fldCharType="begin"/>
            </w:r>
            <w:r w:rsidRPr="00794FE6">
              <w:rPr>
                <w:bCs/>
                <w:sz w:val="16"/>
                <w:szCs w:val="16"/>
              </w:rPr>
              <w:instrText xml:space="preserve"> PAGE </w:instrText>
            </w:r>
            <w:r w:rsidRPr="00794FE6">
              <w:rPr>
                <w:bCs/>
                <w:sz w:val="16"/>
                <w:szCs w:val="16"/>
              </w:rPr>
              <w:fldChar w:fldCharType="separate"/>
            </w:r>
            <w:r w:rsidR="004A3C28">
              <w:rPr>
                <w:bCs/>
                <w:noProof/>
                <w:sz w:val="16"/>
                <w:szCs w:val="16"/>
              </w:rPr>
              <w:t>10</w:t>
            </w:r>
            <w:r w:rsidRPr="00794FE6">
              <w:rPr>
                <w:bCs/>
                <w:sz w:val="16"/>
                <w:szCs w:val="16"/>
              </w:rPr>
              <w:fldChar w:fldCharType="end"/>
            </w:r>
            <w:r w:rsidRPr="00794FE6">
              <w:rPr>
                <w:sz w:val="16"/>
                <w:szCs w:val="16"/>
              </w:rPr>
              <w:t xml:space="preserve"> of </w:t>
            </w:r>
            <w:r w:rsidRPr="00794FE6">
              <w:rPr>
                <w:bCs/>
                <w:sz w:val="16"/>
                <w:szCs w:val="16"/>
              </w:rPr>
              <w:fldChar w:fldCharType="begin"/>
            </w:r>
            <w:r w:rsidRPr="00794FE6">
              <w:rPr>
                <w:bCs/>
                <w:sz w:val="16"/>
                <w:szCs w:val="16"/>
              </w:rPr>
              <w:instrText xml:space="preserve"> NUMPAGES  </w:instrText>
            </w:r>
            <w:r w:rsidRPr="00794FE6">
              <w:rPr>
                <w:bCs/>
                <w:sz w:val="16"/>
                <w:szCs w:val="16"/>
              </w:rPr>
              <w:fldChar w:fldCharType="separate"/>
            </w:r>
            <w:r w:rsidR="004A3C28">
              <w:rPr>
                <w:bCs/>
                <w:noProof/>
                <w:sz w:val="16"/>
                <w:szCs w:val="16"/>
              </w:rPr>
              <w:t>20</w:t>
            </w:r>
            <w:r w:rsidRPr="00794FE6">
              <w:rPr>
                <w:bCs/>
                <w:sz w:val="16"/>
                <w:szCs w:val="16"/>
              </w:rPr>
              <w:fldChar w:fldCharType="end"/>
            </w:r>
          </w:p>
        </w:sdtContent>
      </w:sdt>
    </w:sdtContent>
  </w:sdt>
  <w:p w14:paraId="4D974D05" w14:textId="77777777" w:rsidR="00794FE6" w:rsidRPr="00785F18" w:rsidRDefault="00794FE6" w:rsidP="003B518B">
    <w:pPr>
      <w:spacing w:line="240" w:lineRule="auto"/>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0" w:type="dxa"/>
        <w:right w:w="0" w:type="dxa"/>
      </w:tblCellMar>
      <w:tblLook w:val="0000" w:firstRow="0" w:lastRow="0" w:firstColumn="0" w:lastColumn="0" w:noHBand="0" w:noVBand="0"/>
    </w:tblPr>
    <w:tblGrid>
      <w:gridCol w:w="6260"/>
    </w:tblGrid>
    <w:tr w:rsidR="00794FE6" w:rsidRPr="00785F18" w14:paraId="4D974D18" w14:textId="77777777" w:rsidTr="00B06D4B">
      <w:trPr>
        <w:trHeight w:hRule="exact" w:val="240"/>
      </w:trPr>
      <w:tc>
        <w:tcPr>
          <w:tcW w:w="6260" w:type="dxa"/>
          <w:shd w:val="clear" w:color="auto" w:fill="auto"/>
        </w:tcPr>
        <w:p w14:paraId="4D974D16" w14:textId="77777777" w:rsidR="00794FE6" w:rsidRPr="00785F18" w:rsidRDefault="00794FE6" w:rsidP="00B06D4B">
          <w:pPr>
            <w:rPr>
              <w:rStyle w:val="Huisstijl-Rubricering"/>
            </w:rPr>
          </w:pPr>
        </w:p>
      </w:tc>
    </w:tr>
  </w:tbl>
  <w:p w14:paraId="4D974D19" w14:textId="77777777" w:rsidR="00794FE6" w:rsidRPr="00785F18" w:rsidRDefault="00794FE6" w:rsidP="00101F98">
    <w:pPr>
      <w:spacing w:line="240" w:lineRule="auto"/>
      <w:rPr>
        <w:sz w:val="2"/>
        <w:szCs w:val="2"/>
      </w:rPr>
    </w:pPr>
  </w:p>
  <w:p w14:paraId="4D974D1A" w14:textId="77777777" w:rsidR="00794FE6" w:rsidRPr="00785F18" w:rsidRDefault="00794FE6" w:rsidP="0039744C">
    <w:pPr>
      <w:spacing w:line="240" w:lineRule="auto"/>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F13A61" w14:textId="77777777" w:rsidR="00794FE6" w:rsidRPr="00B35331" w:rsidRDefault="00794FE6" w:rsidP="00B35331">
      <w:pPr>
        <w:pStyle w:val="Footer"/>
      </w:pPr>
    </w:p>
  </w:footnote>
  <w:footnote w:type="continuationSeparator" w:id="0">
    <w:p w14:paraId="7426A3D7" w14:textId="77777777" w:rsidR="00794FE6" w:rsidRDefault="00794FE6">
      <w:r>
        <w:continuationSeparator/>
      </w:r>
    </w:p>
    <w:p w14:paraId="096853AA" w14:textId="77777777" w:rsidR="00794FE6" w:rsidRDefault="00794FE6"/>
    <w:p w14:paraId="025E4B3F" w14:textId="77777777" w:rsidR="00794FE6" w:rsidRDefault="00794FE6"/>
  </w:footnote>
  <w:footnote w:type="continuationNotice" w:id="1">
    <w:p w14:paraId="17784F8F" w14:textId="77777777" w:rsidR="00794FE6" w:rsidRDefault="00794FE6">
      <w:pPr>
        <w:spacing w:line="240" w:lineRule="auto"/>
      </w:pPr>
    </w:p>
  </w:footnote>
  <w:footnote w:id="2">
    <w:p w14:paraId="4D974D21" w14:textId="4CE30F75" w:rsidR="00794FE6" w:rsidRDefault="00794FE6" w:rsidP="005150FC">
      <w:pPr>
        <w:pStyle w:val="FootnoteText"/>
      </w:pPr>
      <w:r>
        <w:rPr>
          <w:rStyle w:val="FootnoteReference"/>
        </w:rPr>
        <w:footnoteRef/>
      </w:r>
      <w:r>
        <w:t xml:space="preserve"> </w:t>
      </w:r>
      <w:r>
        <w:tab/>
        <w:t xml:space="preserve">Binnen MOPAN evalueert Nederland samen met 18 gelijkgezinde landen het functioneren van VN-organisaties en Internationale Financiële Instellingen. Vanaf 2015 worden, per keer, in een tweejaarlijkse cyclus, ongeveer 13 organisaties doorgelicht op organisatorisch functioneren en ontwikkelingseffectiviteit. </w:t>
      </w:r>
    </w:p>
  </w:footnote>
  <w:footnote w:id="3">
    <w:p w14:paraId="14D4A336" w14:textId="4043A386" w:rsidR="00794FE6" w:rsidRPr="00AF7F5D" w:rsidRDefault="00794FE6" w:rsidP="00FD6DC6">
      <w:pPr>
        <w:pStyle w:val="FootnoteText"/>
      </w:pPr>
      <w:r>
        <w:rPr>
          <w:rStyle w:val="FootnoteReference"/>
        </w:rPr>
        <w:footnoteRef/>
      </w:r>
      <w:r>
        <w:t xml:space="preserve"> </w:t>
      </w:r>
      <w:r w:rsidRPr="005A48FD">
        <w:t>Deze gegevens zijn op basis van de huidige documentatie niet vast te stellen.</w:t>
      </w:r>
    </w:p>
  </w:footnote>
  <w:footnote w:id="4">
    <w:p w14:paraId="71E8AA41" w14:textId="77777777" w:rsidR="00794FE6" w:rsidRPr="00A1262F" w:rsidRDefault="00794FE6" w:rsidP="00A13B36">
      <w:pPr>
        <w:pStyle w:val="FootnoteText"/>
        <w:rPr>
          <w:lang w:val="en-US"/>
        </w:rPr>
      </w:pPr>
      <w:r>
        <w:rPr>
          <w:rStyle w:val="FootnoteReference"/>
        </w:rPr>
        <w:footnoteRef/>
      </w:r>
      <w:r w:rsidRPr="00A1262F">
        <w:rPr>
          <w:lang w:val="en-US"/>
        </w:rPr>
        <w:t xml:space="preserve"> https://umoja.un.org/</w:t>
      </w:r>
    </w:p>
  </w:footnote>
  <w:footnote w:id="5">
    <w:p w14:paraId="346D903A" w14:textId="59564293" w:rsidR="00794FE6" w:rsidRPr="0082329D" w:rsidRDefault="00794FE6">
      <w:pPr>
        <w:pStyle w:val="FootnoteText"/>
        <w:rPr>
          <w:lang w:val="en-US"/>
        </w:rPr>
      </w:pPr>
      <w:r>
        <w:rPr>
          <w:rStyle w:val="FootnoteReference"/>
        </w:rPr>
        <w:footnoteRef/>
      </w:r>
      <w:r w:rsidRPr="0082329D">
        <w:rPr>
          <w:lang w:val="en-US"/>
        </w:rPr>
        <w:t xml:space="preserve"> Western European and Others Group, regionale VN-groep.</w:t>
      </w:r>
      <w:r>
        <w:rPr>
          <w:lang w:val="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974CF4" w14:textId="77777777" w:rsidR="00794FE6" w:rsidRPr="00785F18" w:rsidRDefault="00794FE6">
    <w:pPr>
      <w:pStyle w:val="Header"/>
    </w:pPr>
  </w:p>
  <w:p w14:paraId="4D974CF5" w14:textId="77777777" w:rsidR="00794FE6" w:rsidRPr="00785F18" w:rsidRDefault="00794FE6"/>
  <w:p w14:paraId="4D974CF6" w14:textId="77777777" w:rsidR="00794FE6" w:rsidRPr="00785F18" w:rsidRDefault="00794FE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974CF7" w14:textId="77777777" w:rsidR="00794FE6" w:rsidRPr="00785F18" w:rsidRDefault="00794FE6" w:rsidP="000C0FB6">
    <w:pPr>
      <w:pStyle w:val="Header"/>
      <w:rPr>
        <w:rStyle w:val="Huisstijl-Koptekst"/>
        <w:sz w:val="18"/>
      </w:rPr>
    </w:pPr>
  </w:p>
  <w:tbl>
    <w:tblPr>
      <w:tblW w:w="7520" w:type="dxa"/>
      <w:tblLayout w:type="fixed"/>
      <w:tblCellMar>
        <w:left w:w="0" w:type="dxa"/>
        <w:right w:w="0" w:type="dxa"/>
      </w:tblCellMar>
      <w:tblLook w:val="0000" w:firstRow="0" w:lastRow="0" w:firstColumn="0" w:lastColumn="0" w:noHBand="0" w:noVBand="0"/>
    </w:tblPr>
    <w:tblGrid>
      <w:gridCol w:w="7520"/>
    </w:tblGrid>
    <w:tr w:rsidR="00794FE6" w:rsidRPr="00794FE6" w14:paraId="4D974CF9" w14:textId="77777777" w:rsidTr="002E14E1">
      <w:trPr>
        <w:trHeight w:val="400"/>
      </w:trPr>
      <w:tc>
        <w:tcPr>
          <w:tcW w:w="7520" w:type="dxa"/>
          <w:shd w:val="clear" w:color="auto" w:fill="auto"/>
        </w:tcPr>
        <w:p w14:paraId="4D974CF8" w14:textId="56BAE6EF" w:rsidR="00794FE6" w:rsidRPr="00794FE6" w:rsidRDefault="00794FE6" w:rsidP="00794FE6">
          <w:pPr>
            <w:rPr>
              <w:sz w:val="13"/>
              <w:lang w:val="en-US"/>
            </w:rPr>
          </w:pPr>
          <w:r>
            <w:rPr>
              <w:rStyle w:val="Huisstijl-Koptekst"/>
            </w:rPr>
            <w:fldChar w:fldCharType="begin"/>
          </w:r>
          <w:r w:rsidRPr="00794FE6">
            <w:rPr>
              <w:rStyle w:val="Huisstijl-Koptekst"/>
              <w:lang w:val="en-US"/>
            </w:rPr>
            <w:instrText xml:space="preserve"> Titel </w:instrText>
          </w:r>
          <w:r>
            <w:rPr>
              <w:rStyle w:val="Huisstijl-Koptekst"/>
            </w:rPr>
            <w:fldChar w:fldCharType="separate"/>
          </w:r>
          <w:r w:rsidRPr="00794FE6">
            <w:rPr>
              <w:lang w:val="en-US"/>
            </w:rPr>
            <w:t>Scorecard</w:t>
          </w:r>
          <w:r>
            <w:rPr>
              <w:rStyle w:val="Huisstijl-Koptekst"/>
            </w:rPr>
            <w:fldChar w:fldCharType="end"/>
          </w:r>
          <w:r w:rsidRPr="008517DE">
            <w:rPr>
              <w:rStyle w:val="Huisstijl-Koptekst"/>
              <w:lang w:val="en-GB"/>
            </w:rPr>
            <w:t xml:space="preserve"> | </w:t>
          </w:r>
          <w:r w:rsidRPr="00794FE6">
            <w:rPr>
              <w:rStyle w:val="Huisstijl-Koptekst"/>
              <w:lang w:val="en-US"/>
            </w:rPr>
            <w:t>Office of the H</w:t>
          </w:r>
          <w:r>
            <w:rPr>
              <w:rStyle w:val="Huisstijl-Koptekst"/>
              <w:lang w:val="en-US"/>
            </w:rPr>
            <w:t>igh Commissioner for Human Rights</w:t>
          </w:r>
        </w:p>
      </w:tc>
    </w:tr>
  </w:tbl>
  <w:p w14:paraId="4D974CFA" w14:textId="77777777" w:rsidR="00794FE6" w:rsidRPr="008517DE" w:rsidRDefault="00794FE6" w:rsidP="000D7BB7">
    <w:pPr>
      <w:pStyle w:val="Header"/>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974D06" w14:textId="35F78352" w:rsidR="00794FE6" w:rsidRPr="00785F18" w:rsidRDefault="00794FE6" w:rsidP="006E263E">
    <w:r>
      <w:rPr>
        <w:noProof/>
      </w:rPr>
      <mc:AlternateContent>
        <mc:Choice Requires="wps">
          <w:drawing>
            <wp:anchor distT="0" distB="0" distL="114300" distR="114300" simplePos="0" relativeHeight="251658240" behindDoc="0" locked="0" layoutInCell="1" allowOverlap="1" wp14:anchorId="4D974D20" wp14:editId="73238D7A">
              <wp:simplePos x="0" y="0"/>
              <wp:positionH relativeFrom="column">
                <wp:posOffset>1386840</wp:posOffset>
              </wp:positionH>
              <wp:positionV relativeFrom="page">
                <wp:posOffset>-87630</wp:posOffset>
              </wp:positionV>
              <wp:extent cx="4025900" cy="174625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5900" cy="174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6120" w:type="dxa"/>
                            <w:tblLayout w:type="fixed"/>
                            <w:tblCellMar>
                              <w:left w:w="0" w:type="dxa"/>
                              <w:right w:w="0" w:type="dxa"/>
                            </w:tblCellMar>
                            <w:tblLook w:val="0000" w:firstRow="0" w:lastRow="0" w:firstColumn="0" w:lastColumn="0" w:noHBand="0" w:noVBand="0"/>
                          </w:tblPr>
                          <w:tblGrid>
                            <w:gridCol w:w="737"/>
                            <w:gridCol w:w="5383"/>
                          </w:tblGrid>
                          <w:tr w:rsidR="00794FE6" w14:paraId="4D974D47" w14:textId="77777777">
                            <w:trPr>
                              <w:trHeight w:val="2636"/>
                            </w:trPr>
                            <w:tc>
                              <w:tcPr>
                                <w:tcW w:w="737" w:type="dxa"/>
                                <w:shd w:val="clear" w:color="auto" w:fill="auto"/>
                              </w:tcPr>
                              <w:p w14:paraId="4D974D45" w14:textId="77777777" w:rsidR="00794FE6" w:rsidRDefault="00794FE6" w:rsidP="006E263E">
                                <w:pPr>
                                  <w:spacing w:line="240" w:lineRule="auto"/>
                                </w:pPr>
                                <w:bookmarkStart w:id="4" w:name="bm_BZlogo"/>
                                <w:bookmarkEnd w:id="4"/>
                                <w:r>
                                  <w:rPr>
                                    <w:noProof/>
                                  </w:rPr>
                                  <w:drawing>
                                    <wp:inline distT="0" distB="0" distL="0" distR="0" wp14:anchorId="4D974D49" wp14:editId="4D974D4A">
                                      <wp:extent cx="466725" cy="1581150"/>
                                      <wp:effectExtent l="0" t="0" r="0" b="0"/>
                                      <wp:docPr id="3" name="Picture 1" descr="RO_Beeldmerk_Zw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_Beeldmerk_Zwa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 cy="1581150"/>
                                              </a:xfrm>
                                              <a:prstGeom prst="rect">
                                                <a:avLst/>
                                              </a:prstGeom>
                                              <a:noFill/>
                                              <a:ln>
                                                <a:noFill/>
                                              </a:ln>
                                            </pic:spPr>
                                          </pic:pic>
                                        </a:graphicData>
                                      </a:graphic>
                                    </wp:inline>
                                  </w:drawing>
                                </w:r>
                              </w:p>
                            </w:tc>
                            <w:tc>
                              <w:tcPr>
                                <w:tcW w:w="5383" w:type="dxa"/>
                                <w:shd w:val="clear" w:color="auto" w:fill="auto"/>
                              </w:tcPr>
                              <w:p w14:paraId="4D974D46" w14:textId="77777777" w:rsidR="00794FE6" w:rsidRDefault="00794FE6" w:rsidP="006E263E">
                                <w:pPr>
                                  <w:spacing w:line="240" w:lineRule="auto"/>
                                </w:pPr>
                                <w:r>
                                  <w:rPr>
                                    <w:noProof/>
                                  </w:rPr>
                                  <w:drawing>
                                    <wp:inline distT="0" distB="0" distL="0" distR="0" wp14:anchorId="4D974D4B" wp14:editId="4D974D4C">
                                      <wp:extent cx="2447925" cy="1657350"/>
                                      <wp:effectExtent l="0" t="0" r="0" b="0"/>
                                      <wp:docPr id="2" name="Picture 2" descr="BZ_Dut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Z_Dutc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47925" cy="1657350"/>
                                              </a:xfrm>
                                              <a:prstGeom prst="rect">
                                                <a:avLst/>
                                              </a:prstGeom>
                                              <a:noFill/>
                                              <a:ln>
                                                <a:noFill/>
                                              </a:ln>
                                            </pic:spPr>
                                          </pic:pic>
                                        </a:graphicData>
                                      </a:graphic>
                                    </wp:inline>
                                  </w:drawing>
                                </w:r>
                              </w:p>
                            </w:tc>
                          </w:tr>
                        </w:tbl>
                        <w:p w14:paraId="4D974D48" w14:textId="77777777" w:rsidR="00794FE6" w:rsidRDefault="00794FE6" w:rsidP="006E263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974D20" id="_x0000_t202" coordsize="21600,21600" o:spt="202" path="m,l,21600r21600,l21600,xe">
              <v:stroke joinstyle="miter"/>
              <v:path gradientshapeok="t" o:connecttype="rect"/>
            </v:shapetype>
            <v:shape id="Text Box 1" o:spid="_x0000_s1026" type="#_x0000_t202" style="position:absolute;margin-left:109.2pt;margin-top:-6.9pt;width:317pt;height:1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" filled="f" stroked="f">
              <v:textbox>
                <w:txbxContent>
                  <w:tbl>
                    <w:tblPr>
                      <w:tblW w:w="6120" w:type="dxa"/>
                      <w:tblLayout w:type="fixed"/>
                      <w:tblCellMar>
                        <w:left w:w="0" w:type="dxa"/>
                        <w:right w:w="0" w:type="dxa"/>
                      </w:tblCellMar>
                      <w:tblLook w:val="0000" w:firstRow="0" w:lastRow="0" w:firstColumn="0" w:lastColumn="0" w:noHBand="0" w:noVBand="0"/>
                    </w:tblPr>
                    <w:tblGrid>
                      <w:gridCol w:w="737"/>
                      <w:gridCol w:w="5383"/>
                    </w:tblGrid>
                    <w:tr w:rsidR="00794FE6" w14:paraId="4D974D47" w14:textId="77777777">
                      <w:trPr>
                        <w:trHeight w:val="2636"/>
                      </w:trPr>
                      <w:tc>
                        <w:tcPr>
                          <w:tcW w:w="737" w:type="dxa"/>
                          <w:shd w:val="clear" w:color="auto" w:fill="auto"/>
                        </w:tcPr>
                        <w:p w14:paraId="4D974D45" w14:textId="77777777" w:rsidR="00794FE6" w:rsidRDefault="00794FE6" w:rsidP="006E263E">
                          <w:pPr>
                            <w:spacing w:line="240" w:lineRule="auto"/>
                          </w:pPr>
                          <w:bookmarkStart w:id="5" w:name="bm_BZlogo"/>
                          <w:bookmarkEnd w:id="5"/>
                          <w:r>
                            <w:rPr>
                              <w:noProof/>
                            </w:rPr>
                            <w:drawing>
                              <wp:inline distT="0" distB="0" distL="0" distR="0" wp14:anchorId="4D974D49" wp14:editId="4D974D4A">
                                <wp:extent cx="466725" cy="1581150"/>
                                <wp:effectExtent l="0" t="0" r="0" b="0"/>
                                <wp:docPr id="3" name="Picture 1" descr="RO_Beeldmerk_Zw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_Beeldmerk_Zwa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 cy="1581150"/>
                                        </a:xfrm>
                                        <a:prstGeom prst="rect">
                                          <a:avLst/>
                                        </a:prstGeom>
                                        <a:noFill/>
                                        <a:ln>
                                          <a:noFill/>
                                        </a:ln>
                                      </pic:spPr>
                                    </pic:pic>
                                  </a:graphicData>
                                </a:graphic>
                              </wp:inline>
                            </w:drawing>
                          </w:r>
                        </w:p>
                      </w:tc>
                      <w:tc>
                        <w:tcPr>
                          <w:tcW w:w="5383" w:type="dxa"/>
                          <w:shd w:val="clear" w:color="auto" w:fill="auto"/>
                        </w:tcPr>
                        <w:p w14:paraId="4D974D46" w14:textId="77777777" w:rsidR="00794FE6" w:rsidRDefault="00794FE6" w:rsidP="006E263E">
                          <w:pPr>
                            <w:spacing w:line="240" w:lineRule="auto"/>
                          </w:pPr>
                          <w:r>
                            <w:rPr>
                              <w:noProof/>
                            </w:rPr>
                            <w:drawing>
                              <wp:inline distT="0" distB="0" distL="0" distR="0" wp14:anchorId="4D974D4B" wp14:editId="4D974D4C">
                                <wp:extent cx="2447925" cy="1657350"/>
                                <wp:effectExtent l="0" t="0" r="0" b="0"/>
                                <wp:docPr id="2" name="Picture 2" descr="BZ_Dut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Z_Dutc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47925" cy="1657350"/>
                                        </a:xfrm>
                                        <a:prstGeom prst="rect">
                                          <a:avLst/>
                                        </a:prstGeom>
                                        <a:noFill/>
                                        <a:ln>
                                          <a:noFill/>
                                        </a:ln>
                                      </pic:spPr>
                                    </pic:pic>
                                  </a:graphicData>
                                </a:graphic>
                              </wp:inline>
                            </w:drawing>
                          </w:r>
                        </w:p>
                      </w:tc>
                    </w:tr>
                  </w:tbl>
                  <w:p w14:paraId="4D974D48" w14:textId="77777777" w:rsidR="00794FE6" w:rsidRDefault="00794FE6" w:rsidP="006E263E"/>
                </w:txbxContent>
              </v:textbox>
              <w10:wrap anchory="page"/>
            </v:shape>
          </w:pict>
        </mc:Fallback>
      </mc:AlternateContent>
    </w:r>
  </w:p>
  <w:tbl>
    <w:tblPr>
      <w:tblW w:w="5640" w:type="dxa"/>
      <w:tblLayout w:type="fixed"/>
      <w:tblCellMar>
        <w:left w:w="0" w:type="dxa"/>
        <w:right w:w="0" w:type="dxa"/>
      </w:tblCellMar>
      <w:tblLook w:val="0000" w:firstRow="0" w:lastRow="0" w:firstColumn="0" w:lastColumn="0" w:noHBand="0" w:noVBand="0"/>
    </w:tblPr>
    <w:tblGrid>
      <w:gridCol w:w="5640"/>
    </w:tblGrid>
    <w:tr w:rsidR="00794FE6" w:rsidRPr="00785F18" w14:paraId="4D974D08" w14:textId="77777777" w:rsidTr="000A01F6">
      <w:trPr>
        <w:cantSplit/>
        <w:trHeight w:hRule="exact" w:val="3340"/>
      </w:trPr>
      <w:tc>
        <w:tcPr>
          <w:tcW w:w="5640" w:type="dxa"/>
          <w:shd w:val="clear" w:color="auto" w:fill="auto"/>
        </w:tcPr>
        <w:p w14:paraId="4D974D07" w14:textId="77777777" w:rsidR="00794FE6" w:rsidRPr="00785F18" w:rsidRDefault="00794FE6" w:rsidP="00094B45">
          <w:pPr>
            <w:ind w:left="240" w:hanging="240"/>
          </w:pPr>
        </w:p>
      </w:tc>
    </w:tr>
    <w:tr w:rsidR="00794FE6" w:rsidRPr="00794FE6" w14:paraId="4D974D0E" w14:textId="77777777" w:rsidTr="007B0280">
      <w:trPr>
        <w:cantSplit/>
        <w:trHeight w:hRule="exact" w:val="1440"/>
      </w:trPr>
      <w:tc>
        <w:tcPr>
          <w:tcW w:w="5640" w:type="dxa"/>
          <w:shd w:val="clear" w:color="auto" w:fill="auto"/>
        </w:tcPr>
        <w:p w14:paraId="4D974D09" w14:textId="77777777" w:rsidR="00794FE6" w:rsidRPr="00785F18" w:rsidRDefault="00794FE6" w:rsidP="000C0FB6">
          <w:pPr>
            <w:rPr>
              <w:rStyle w:val="Huisstijl-Rubricering"/>
              <w:smallCaps w:val="0"/>
            </w:rPr>
          </w:pPr>
        </w:p>
        <w:p w14:paraId="4D974D0A" w14:textId="77777777" w:rsidR="00794FE6" w:rsidRPr="00785F18" w:rsidRDefault="00794FE6" w:rsidP="000C0FB6">
          <w:pPr>
            <w:spacing w:line="180" w:lineRule="atLeast"/>
            <w:rPr>
              <w:rStyle w:val="Huisstijl-Rubricering"/>
              <w:smallCaps w:val="0"/>
            </w:rPr>
          </w:pPr>
        </w:p>
        <w:p w14:paraId="4D974D0B" w14:textId="3911035D" w:rsidR="00794FE6" w:rsidRPr="00A14CA2" w:rsidRDefault="00794FE6" w:rsidP="00B36546">
          <w:pPr>
            <w:pStyle w:val="Title"/>
            <w:rPr>
              <w:lang w:val="en-US"/>
            </w:rPr>
          </w:pPr>
          <w:r w:rsidRPr="00A14CA2">
            <w:rPr>
              <w:lang w:val="en-US"/>
            </w:rPr>
            <w:t>Scorecard</w:t>
          </w:r>
          <w:r>
            <w:rPr>
              <w:lang w:val="en-US"/>
            </w:rPr>
            <w:t xml:space="preserve"> </w:t>
          </w:r>
          <w:bookmarkStart w:id="6" w:name="subtitel"/>
          <w:r w:rsidRPr="00A14CA2">
            <w:rPr>
              <w:lang w:val="en-US"/>
            </w:rPr>
            <w:t xml:space="preserve"> </w:t>
          </w:r>
          <w:r w:rsidRPr="00A14CA2">
            <w:rPr>
              <w:rStyle w:val="SubtitleChar"/>
              <w:lang w:val="en-US"/>
            </w:rPr>
            <w:t>O</w:t>
          </w:r>
          <w:bookmarkEnd w:id="6"/>
          <w:r w:rsidRPr="00A14CA2">
            <w:rPr>
              <w:rStyle w:val="SubtitleChar"/>
              <w:lang w:val="en-US"/>
            </w:rPr>
            <w:t>ffice of the High Commissioner for Human Rights</w:t>
          </w:r>
        </w:p>
        <w:p w14:paraId="4D974D0C" w14:textId="77777777" w:rsidR="00794FE6" w:rsidRPr="00B36546" w:rsidRDefault="00794FE6" w:rsidP="00B36546">
          <w:pPr>
            <w:rPr>
              <w:lang w:val="en-GB"/>
            </w:rPr>
          </w:pPr>
        </w:p>
        <w:p w14:paraId="4D974D0D" w14:textId="77777777" w:rsidR="00794FE6" w:rsidRPr="00B36546" w:rsidRDefault="00794FE6" w:rsidP="00B36546">
          <w:pPr>
            <w:tabs>
              <w:tab w:val="left" w:pos="3281"/>
            </w:tabs>
            <w:rPr>
              <w:lang w:val="en-GB"/>
            </w:rPr>
          </w:pPr>
          <w:r w:rsidRPr="00B36546">
            <w:rPr>
              <w:lang w:val="en-GB"/>
            </w:rPr>
            <w:tab/>
          </w:r>
        </w:p>
      </w:tc>
    </w:tr>
    <w:tr w:rsidR="00794FE6" w:rsidRPr="00794FE6" w14:paraId="4D974D10" w14:textId="77777777" w:rsidTr="000A01F6">
      <w:trPr>
        <w:cantSplit/>
        <w:trHeight w:hRule="exact" w:val="240"/>
      </w:trPr>
      <w:tc>
        <w:tcPr>
          <w:tcW w:w="5640" w:type="dxa"/>
          <w:shd w:val="clear" w:color="auto" w:fill="auto"/>
        </w:tcPr>
        <w:p w14:paraId="4D974D0F" w14:textId="77777777" w:rsidR="00794FE6" w:rsidRPr="00B36546" w:rsidRDefault="00794FE6" w:rsidP="00B60860">
          <w:pPr>
            <w:rPr>
              <w:lang w:val="en-GB"/>
            </w:rPr>
          </w:pPr>
        </w:p>
      </w:tc>
    </w:tr>
    <w:tr w:rsidR="00794FE6" w:rsidRPr="00794FE6" w14:paraId="4D974D12" w14:textId="77777777" w:rsidTr="000A01F6">
      <w:trPr>
        <w:cantSplit/>
        <w:trHeight w:hRule="exact" w:val="480"/>
      </w:trPr>
      <w:tc>
        <w:tcPr>
          <w:tcW w:w="5640" w:type="dxa"/>
          <w:shd w:val="clear" w:color="auto" w:fill="auto"/>
        </w:tcPr>
        <w:p w14:paraId="4D974D11" w14:textId="77777777" w:rsidR="00794FE6" w:rsidRPr="00B36546" w:rsidRDefault="00794FE6" w:rsidP="00EF0ED5">
          <w:pPr>
            <w:rPr>
              <w:lang w:val="en-GB"/>
            </w:rPr>
          </w:pPr>
        </w:p>
      </w:tc>
    </w:tr>
  </w:tbl>
  <w:p w14:paraId="4D974D13" w14:textId="4D687C04" w:rsidR="00794FE6" w:rsidRPr="00B36546" w:rsidRDefault="00794FE6">
    <w:pPr>
      <w:rPr>
        <w:lang w:val="en-GB"/>
      </w:rPr>
    </w:pPr>
    <w:r>
      <w:rPr>
        <w:lang w:val="en-GB"/>
      </w:rPr>
      <w:t>Datum</w:t>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t>15 augustus 2017</w:t>
    </w:r>
  </w:p>
  <w:p w14:paraId="4D974D14" w14:textId="77777777" w:rsidR="00794FE6" w:rsidRPr="00B36546" w:rsidRDefault="00794FE6">
    <w:pPr>
      <w:rPr>
        <w:lang w:val="en-GB"/>
      </w:rPr>
    </w:pPr>
  </w:p>
  <w:p w14:paraId="4D974D15" w14:textId="77777777" w:rsidR="00794FE6" w:rsidRPr="00785F18" w:rsidRDefault="00794FE6" w:rsidP="0006027D"/>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974D1B" w14:textId="77777777" w:rsidR="00794FE6" w:rsidRPr="00785F18" w:rsidRDefault="00794FE6" w:rsidP="00E51959">
    <w:pPr>
      <w:pStyle w:val="Header"/>
      <w:rPr>
        <w:rStyle w:val="Huisstijl-Koptekst"/>
        <w:sz w:val="18"/>
      </w:rPr>
    </w:pPr>
  </w:p>
  <w:tbl>
    <w:tblPr>
      <w:tblW w:w="7520" w:type="dxa"/>
      <w:tblLayout w:type="fixed"/>
      <w:tblCellMar>
        <w:left w:w="0" w:type="dxa"/>
        <w:right w:w="0" w:type="dxa"/>
      </w:tblCellMar>
      <w:tblLook w:val="0000" w:firstRow="0" w:lastRow="0" w:firstColumn="0" w:lastColumn="0" w:noHBand="0" w:noVBand="0"/>
    </w:tblPr>
    <w:tblGrid>
      <w:gridCol w:w="7520"/>
    </w:tblGrid>
    <w:tr w:rsidR="00794FE6" w:rsidRPr="008517DE" w14:paraId="4D974D1E" w14:textId="77777777" w:rsidTr="00B06D4B">
      <w:trPr>
        <w:trHeight w:val="400"/>
      </w:trPr>
      <w:tc>
        <w:tcPr>
          <w:tcW w:w="7520" w:type="dxa"/>
          <w:shd w:val="clear" w:color="auto" w:fill="auto"/>
        </w:tcPr>
        <w:p w14:paraId="4D974D1C" w14:textId="77777777" w:rsidR="00794FE6" w:rsidRDefault="00794FE6" w:rsidP="00CF62BD">
          <w:pPr>
            <w:adjustRightInd w:val="0"/>
            <w:spacing w:line="180" w:lineRule="exact"/>
            <w:rPr>
              <w:rFonts w:eastAsia="Arial Unicode MS"/>
              <w:szCs w:val="18"/>
            </w:rPr>
          </w:pPr>
          <w:r w:rsidRPr="004111DA">
            <w:rPr>
              <w:rStyle w:val="Huisstijl-Koptekst"/>
              <w:sz w:val="18"/>
              <w:szCs w:val="18"/>
            </w:rPr>
            <w:fldChar w:fldCharType="begin"/>
          </w:r>
          <w:r w:rsidRPr="001B371B">
            <w:rPr>
              <w:rStyle w:val="Huisstijl-Koptekst"/>
              <w:sz w:val="18"/>
              <w:szCs w:val="18"/>
            </w:rPr>
            <w:instrText xml:space="preserve"> REF  titel  \* MERGEFORMAT </w:instrText>
          </w:r>
          <w:r w:rsidRPr="004111DA">
            <w:rPr>
              <w:rStyle w:val="Huisstijl-Koptekst"/>
              <w:sz w:val="18"/>
              <w:szCs w:val="18"/>
            </w:rPr>
            <w:fldChar w:fldCharType="separate"/>
          </w:r>
          <w:r w:rsidRPr="00CF62BD">
            <w:rPr>
              <w:rStyle w:val="Huisstijl-Koptekst"/>
              <w:sz w:val="18"/>
            </w:rPr>
            <w:t>Het</w:t>
          </w:r>
          <w:r>
            <w:rPr>
              <w:rFonts w:eastAsia="Arial Unicode MS"/>
              <w:szCs w:val="18"/>
            </w:rPr>
            <w:t xml:space="preserve"> </w:t>
          </w:r>
          <w:r w:rsidRPr="00883E67">
            <w:rPr>
              <w:rFonts w:eastAsia="Arial Unicode MS"/>
              <w:i/>
              <w:szCs w:val="18"/>
            </w:rPr>
            <w:t xml:space="preserve">Human Rights Appeal </w:t>
          </w:r>
          <w:r>
            <w:rPr>
              <w:rFonts w:eastAsia="Arial Unicode MS"/>
              <w:szCs w:val="18"/>
            </w:rPr>
            <w:t>2017 van de OHCHR spreekt van een benodigd budget van USD 252,9 miljoen om tegemoet te komen aan verzoeken ten behoeve van het mensenrechtenprogramma in 2017. Deze middelen komen bovenop de inkomsten uit het reguliere budget, wat betekent dat deze van vrijwillige bijdragen moeten komen.</w:t>
          </w:r>
        </w:p>
        <w:p w14:paraId="4D974D1D" w14:textId="77777777" w:rsidR="00794FE6" w:rsidRPr="008517DE" w:rsidRDefault="00794FE6" w:rsidP="00B06D4B">
          <w:pPr>
            <w:adjustRightInd w:val="0"/>
            <w:spacing w:line="180" w:lineRule="exact"/>
            <w:rPr>
              <w:sz w:val="13"/>
              <w:lang w:val="en-GB"/>
            </w:rPr>
          </w:pPr>
          <w:r w:rsidRPr="004111DA">
            <w:rPr>
              <w:rStyle w:val="Huisstijl-Koptekst"/>
              <w:sz w:val="18"/>
              <w:szCs w:val="18"/>
            </w:rPr>
            <w:fldChar w:fldCharType="end"/>
          </w:r>
          <w:r w:rsidRPr="00A871C2">
            <w:rPr>
              <w:rStyle w:val="Huisstijl-Koptekst"/>
            </w:rPr>
            <w:t xml:space="preserve"> </w:t>
          </w:r>
          <w:r w:rsidRPr="007B163C">
            <w:rPr>
              <w:rStyle w:val="Huisstijl-Koptekst"/>
              <w:lang w:val="en-GB"/>
            </w:rPr>
            <w:t xml:space="preserve">| </w:t>
          </w:r>
          <w:r>
            <w:rPr>
              <w:rStyle w:val="Huisstijl-Koptekst"/>
              <w:lang w:val="en-GB"/>
            </w:rPr>
            <w:t>Organisatie</w:t>
          </w:r>
          <w:r w:rsidRPr="008517DE">
            <w:rPr>
              <w:sz w:val="13"/>
              <w:lang w:val="en-GB"/>
            </w:rPr>
            <w:t xml:space="preserve"> </w:t>
          </w:r>
        </w:p>
      </w:tc>
    </w:tr>
  </w:tbl>
  <w:p w14:paraId="4D974D1F" w14:textId="77777777" w:rsidR="00794FE6" w:rsidRPr="008517DE" w:rsidRDefault="00794FE6" w:rsidP="00E51959">
    <w:pPr>
      <w:pStyle w:val="Head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3E521D6A"/>
    <w:lvl w:ilvl="0">
      <w:start w:val="1"/>
      <w:numFmt w:val="decimal"/>
      <w:pStyle w:val="ListNumber2"/>
      <w:lvlText w:val="%1"/>
      <w:lvlJc w:val="left"/>
      <w:pPr>
        <w:tabs>
          <w:tab w:val="num" w:pos="454"/>
        </w:tabs>
        <w:ind w:left="454" w:hanging="227"/>
      </w:pPr>
      <w:rPr>
        <w:rFonts w:hint="default"/>
        <w:color w:val="auto"/>
      </w:rPr>
    </w:lvl>
  </w:abstractNum>
  <w:abstractNum w:abstractNumId="1" w15:restartNumberingAfterBreak="0">
    <w:nsid w:val="025A5D0D"/>
    <w:multiLevelType w:val="hybridMultilevel"/>
    <w:tmpl w:val="FA6EF71C"/>
    <w:lvl w:ilvl="0" w:tplc="0413000F">
      <w:start w:val="1"/>
      <w:numFmt w:val="decimal"/>
      <w:lvlText w:val="%1."/>
      <w:lvlJc w:val="left"/>
      <w:pPr>
        <w:ind w:left="502"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3BB5F57"/>
    <w:multiLevelType w:val="multilevel"/>
    <w:tmpl w:val="5AEEDE88"/>
    <w:numStyleLink w:val="StyleBulleted"/>
  </w:abstractNum>
  <w:abstractNum w:abstractNumId="3" w15:restartNumberingAfterBreak="0">
    <w:nsid w:val="060B092F"/>
    <w:multiLevelType w:val="multilevel"/>
    <w:tmpl w:val="C6A2B8B4"/>
    <w:styleLink w:val="StyleNumbered"/>
    <w:lvl w:ilvl="0">
      <w:start w:val="1"/>
      <w:numFmt w:val="decimal"/>
      <w:lvlText w:val="%1."/>
      <w:lvlJc w:val="left"/>
      <w:pPr>
        <w:tabs>
          <w:tab w:val="num" w:pos="227"/>
        </w:tabs>
        <w:ind w:left="227" w:hanging="227"/>
      </w:pPr>
      <w:rPr>
        <w:rFonts w:ascii="Verdana" w:hAnsi="Verdana" w:hint="default"/>
        <w:sz w:val="18"/>
      </w:rPr>
    </w:lvl>
    <w:lvl w:ilvl="1">
      <w:start w:val="1"/>
      <w:numFmt w:val="bullet"/>
      <w:lvlText w:val="-"/>
      <w:lvlJc w:val="left"/>
      <w:pPr>
        <w:tabs>
          <w:tab w:val="num" w:pos="227"/>
        </w:tabs>
        <w:ind w:left="454" w:hanging="227"/>
      </w:pPr>
      <w:rPr>
        <w:rFonts w:ascii="Verdana" w:hAnsi="Verdana" w:hint="default"/>
      </w:rPr>
    </w:lvl>
    <w:lvl w:ilvl="2">
      <w:start w:val="1"/>
      <w:numFmt w:val="bullet"/>
      <w:lvlText w:val="•"/>
      <w:lvlJc w:val="left"/>
      <w:pPr>
        <w:tabs>
          <w:tab w:val="num" w:pos="227"/>
        </w:tabs>
        <w:ind w:left="680" w:hanging="226"/>
      </w:pPr>
      <w:rPr>
        <w:rFonts w:ascii="Verdana" w:hAnsi="Verdana" w:hint="default"/>
        <w:color w:val="auto"/>
      </w:rPr>
    </w:lvl>
    <w:lvl w:ilvl="3">
      <w:start w:val="1"/>
      <w:numFmt w:val="bullet"/>
      <w:lvlText w:val="-"/>
      <w:lvlJc w:val="left"/>
      <w:pPr>
        <w:tabs>
          <w:tab w:val="num" w:pos="227"/>
        </w:tabs>
        <w:ind w:left="907" w:hanging="227"/>
      </w:pPr>
      <w:rPr>
        <w:rFonts w:ascii="Verdana" w:hAnsi="Verdana" w:hint="default"/>
        <w:color w:val="auto"/>
      </w:rPr>
    </w:lvl>
    <w:lvl w:ilvl="4">
      <w:start w:val="1"/>
      <w:numFmt w:val="bullet"/>
      <w:lvlText w:val="•"/>
      <w:lvlJc w:val="left"/>
      <w:pPr>
        <w:tabs>
          <w:tab w:val="num" w:pos="227"/>
        </w:tabs>
        <w:ind w:left="1134" w:hanging="227"/>
      </w:pPr>
      <w:rPr>
        <w:rFonts w:ascii="Verdana" w:hAnsi="Verdana" w:hint="default"/>
        <w:color w:val="auto"/>
      </w:rPr>
    </w:lvl>
    <w:lvl w:ilvl="5">
      <w:start w:val="1"/>
      <w:numFmt w:val="bullet"/>
      <w:lvlText w:val="-"/>
      <w:lvlJc w:val="left"/>
      <w:pPr>
        <w:tabs>
          <w:tab w:val="num" w:pos="227"/>
        </w:tabs>
        <w:ind w:left="1361" w:hanging="227"/>
      </w:pPr>
      <w:rPr>
        <w:rFonts w:ascii="Verdana" w:hAnsi="Verdana" w:hint="default"/>
        <w:color w:val="auto"/>
      </w:rPr>
    </w:lvl>
    <w:lvl w:ilvl="6">
      <w:start w:val="1"/>
      <w:numFmt w:val="bullet"/>
      <w:lvlText w:val="•"/>
      <w:lvlJc w:val="left"/>
      <w:pPr>
        <w:tabs>
          <w:tab w:val="num" w:pos="227"/>
        </w:tabs>
        <w:ind w:left="1588" w:hanging="227"/>
      </w:pPr>
      <w:rPr>
        <w:rFonts w:ascii="Verdana" w:hAnsi="Verdana" w:hint="default"/>
        <w:color w:val="auto"/>
      </w:rPr>
    </w:lvl>
    <w:lvl w:ilvl="7">
      <w:start w:val="1"/>
      <w:numFmt w:val="bullet"/>
      <w:lvlText w:val="-"/>
      <w:lvlJc w:val="left"/>
      <w:pPr>
        <w:tabs>
          <w:tab w:val="num" w:pos="227"/>
        </w:tabs>
        <w:ind w:left="1814" w:hanging="226"/>
      </w:pPr>
      <w:rPr>
        <w:rFonts w:ascii="Verdana" w:hAnsi="Verdana" w:hint="default"/>
        <w:color w:val="auto"/>
      </w:rPr>
    </w:lvl>
    <w:lvl w:ilvl="8">
      <w:start w:val="1"/>
      <w:numFmt w:val="bullet"/>
      <w:lvlText w:val="•"/>
      <w:lvlJc w:val="left"/>
      <w:pPr>
        <w:tabs>
          <w:tab w:val="num" w:pos="227"/>
        </w:tabs>
        <w:ind w:left="2041" w:hanging="227"/>
      </w:pPr>
      <w:rPr>
        <w:rFonts w:ascii="Verdana" w:hAnsi="Verdana" w:hint="default"/>
        <w:color w:val="auto"/>
      </w:rPr>
    </w:lvl>
  </w:abstractNum>
  <w:abstractNum w:abstractNumId="4" w15:restartNumberingAfterBreak="0">
    <w:nsid w:val="0A1B58B4"/>
    <w:multiLevelType w:val="hybridMultilevel"/>
    <w:tmpl w:val="9952683E"/>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15:restartNumberingAfterBreak="0">
    <w:nsid w:val="0FA85165"/>
    <w:multiLevelType w:val="hybridMultilevel"/>
    <w:tmpl w:val="49326DCE"/>
    <w:lvl w:ilvl="0" w:tplc="03924A5E">
      <w:start w:val="1"/>
      <w:numFmt w:val="decimal"/>
      <w:lvlText w:val="%1."/>
      <w:lvlJc w:val="left"/>
      <w:pPr>
        <w:ind w:left="720" w:hanging="360"/>
      </w:pPr>
      <w:rPr>
        <w:rFonts w:hint="default"/>
        <w:lang w:val="nl-NL"/>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10B51873"/>
    <w:multiLevelType w:val="hybridMultilevel"/>
    <w:tmpl w:val="75B881F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10E54B47"/>
    <w:multiLevelType w:val="multilevel"/>
    <w:tmpl w:val="6D5CBB06"/>
    <w:lvl w:ilvl="0">
      <w:start w:val="2"/>
      <w:numFmt w:val="decimal"/>
      <w:lvlText w:val="%1"/>
      <w:lvlJc w:val="left"/>
      <w:pPr>
        <w:ind w:left="360" w:hanging="360"/>
      </w:pPr>
      <w:rPr>
        <w:rFonts w:hint="default"/>
      </w:rPr>
    </w:lvl>
    <w:lvl w:ilvl="1">
      <w:start w:val="1"/>
      <w:numFmt w:val="decimal"/>
      <w:lvlText w:val="%1.%2"/>
      <w:lvlJc w:val="left"/>
      <w:pPr>
        <w:ind w:left="-802" w:hanging="360"/>
      </w:pPr>
      <w:rPr>
        <w:rFonts w:hint="default"/>
      </w:rPr>
    </w:lvl>
    <w:lvl w:ilvl="2">
      <w:start w:val="1"/>
      <w:numFmt w:val="decimal"/>
      <w:lvlText w:val="%1.%2.%3"/>
      <w:lvlJc w:val="left"/>
      <w:pPr>
        <w:ind w:left="-1604" w:hanging="720"/>
      </w:pPr>
      <w:rPr>
        <w:rFonts w:hint="default"/>
      </w:rPr>
    </w:lvl>
    <w:lvl w:ilvl="3">
      <w:start w:val="1"/>
      <w:numFmt w:val="decimal"/>
      <w:lvlText w:val="%1.%2.%3.%4"/>
      <w:lvlJc w:val="left"/>
      <w:pPr>
        <w:ind w:left="-2406" w:hanging="1080"/>
      </w:pPr>
      <w:rPr>
        <w:rFonts w:hint="default"/>
      </w:rPr>
    </w:lvl>
    <w:lvl w:ilvl="4">
      <w:start w:val="1"/>
      <w:numFmt w:val="decimal"/>
      <w:lvlText w:val="%1.%2.%3.%4.%5"/>
      <w:lvlJc w:val="left"/>
      <w:pPr>
        <w:ind w:left="-3568" w:hanging="1080"/>
      </w:pPr>
      <w:rPr>
        <w:rFonts w:hint="default"/>
      </w:rPr>
    </w:lvl>
    <w:lvl w:ilvl="5">
      <w:start w:val="1"/>
      <w:numFmt w:val="decimal"/>
      <w:lvlText w:val="%1.%2.%3.%4.%5.%6"/>
      <w:lvlJc w:val="left"/>
      <w:pPr>
        <w:ind w:left="-4370" w:hanging="1440"/>
      </w:pPr>
      <w:rPr>
        <w:rFonts w:hint="default"/>
      </w:rPr>
    </w:lvl>
    <w:lvl w:ilvl="6">
      <w:start w:val="1"/>
      <w:numFmt w:val="decimal"/>
      <w:lvlText w:val="%1.%2.%3.%4.%5.%6.%7"/>
      <w:lvlJc w:val="left"/>
      <w:pPr>
        <w:ind w:left="-5532" w:hanging="1440"/>
      </w:pPr>
      <w:rPr>
        <w:rFonts w:hint="default"/>
      </w:rPr>
    </w:lvl>
    <w:lvl w:ilvl="7">
      <w:start w:val="1"/>
      <w:numFmt w:val="decimal"/>
      <w:lvlText w:val="%1.%2.%3.%4.%5.%6.%7.%8"/>
      <w:lvlJc w:val="left"/>
      <w:pPr>
        <w:ind w:left="-6334" w:hanging="1800"/>
      </w:pPr>
      <w:rPr>
        <w:rFonts w:hint="default"/>
      </w:rPr>
    </w:lvl>
    <w:lvl w:ilvl="8">
      <w:start w:val="1"/>
      <w:numFmt w:val="decimal"/>
      <w:lvlText w:val="%1.%2.%3.%4.%5.%6.%7.%8.%9"/>
      <w:lvlJc w:val="left"/>
      <w:pPr>
        <w:ind w:left="-7136" w:hanging="2160"/>
      </w:pPr>
      <w:rPr>
        <w:rFonts w:hint="default"/>
      </w:rPr>
    </w:lvl>
  </w:abstractNum>
  <w:abstractNum w:abstractNumId="8" w15:restartNumberingAfterBreak="0">
    <w:nsid w:val="13100EB3"/>
    <w:multiLevelType w:val="hybridMultilevel"/>
    <w:tmpl w:val="D514DFA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1623655D"/>
    <w:multiLevelType w:val="multilevel"/>
    <w:tmpl w:val="5AEEDE88"/>
    <w:numStyleLink w:val="StyleBulleted"/>
  </w:abstractNum>
  <w:abstractNum w:abstractNumId="10" w15:restartNumberingAfterBreak="0">
    <w:nsid w:val="177758AC"/>
    <w:multiLevelType w:val="hybridMultilevel"/>
    <w:tmpl w:val="10F4ACE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1A5A20BC"/>
    <w:multiLevelType w:val="multilevel"/>
    <w:tmpl w:val="5AEEDE88"/>
    <w:numStyleLink w:val="StyleBulleted"/>
  </w:abstractNum>
  <w:abstractNum w:abstractNumId="12" w15:restartNumberingAfterBreak="0">
    <w:nsid w:val="1E2809B5"/>
    <w:multiLevelType w:val="hybridMultilevel"/>
    <w:tmpl w:val="2B58164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3" w15:restartNumberingAfterBreak="0">
    <w:nsid w:val="1E793868"/>
    <w:multiLevelType w:val="hybridMultilevel"/>
    <w:tmpl w:val="B320437C"/>
    <w:lvl w:ilvl="0" w:tplc="04130001">
      <w:start w:val="1"/>
      <w:numFmt w:val="bullet"/>
      <w:lvlText w:val=""/>
      <w:lvlJc w:val="left"/>
      <w:pPr>
        <w:ind w:left="133" w:hanging="360"/>
      </w:pPr>
      <w:rPr>
        <w:rFonts w:ascii="Symbol" w:hAnsi="Symbol" w:hint="default"/>
      </w:rPr>
    </w:lvl>
    <w:lvl w:ilvl="1" w:tplc="04130003" w:tentative="1">
      <w:start w:val="1"/>
      <w:numFmt w:val="bullet"/>
      <w:lvlText w:val="o"/>
      <w:lvlJc w:val="left"/>
      <w:pPr>
        <w:ind w:left="853" w:hanging="360"/>
      </w:pPr>
      <w:rPr>
        <w:rFonts w:ascii="Courier New" w:hAnsi="Courier New" w:cs="Courier New" w:hint="default"/>
      </w:rPr>
    </w:lvl>
    <w:lvl w:ilvl="2" w:tplc="04130005" w:tentative="1">
      <w:start w:val="1"/>
      <w:numFmt w:val="bullet"/>
      <w:lvlText w:val=""/>
      <w:lvlJc w:val="left"/>
      <w:pPr>
        <w:ind w:left="1573" w:hanging="360"/>
      </w:pPr>
      <w:rPr>
        <w:rFonts w:ascii="Wingdings" w:hAnsi="Wingdings" w:hint="default"/>
      </w:rPr>
    </w:lvl>
    <w:lvl w:ilvl="3" w:tplc="04130001" w:tentative="1">
      <w:start w:val="1"/>
      <w:numFmt w:val="bullet"/>
      <w:lvlText w:val=""/>
      <w:lvlJc w:val="left"/>
      <w:pPr>
        <w:ind w:left="2293" w:hanging="360"/>
      </w:pPr>
      <w:rPr>
        <w:rFonts w:ascii="Symbol" w:hAnsi="Symbol" w:hint="default"/>
      </w:rPr>
    </w:lvl>
    <w:lvl w:ilvl="4" w:tplc="04130003" w:tentative="1">
      <w:start w:val="1"/>
      <w:numFmt w:val="bullet"/>
      <w:lvlText w:val="o"/>
      <w:lvlJc w:val="left"/>
      <w:pPr>
        <w:ind w:left="3013" w:hanging="360"/>
      </w:pPr>
      <w:rPr>
        <w:rFonts w:ascii="Courier New" w:hAnsi="Courier New" w:cs="Courier New" w:hint="default"/>
      </w:rPr>
    </w:lvl>
    <w:lvl w:ilvl="5" w:tplc="04130005" w:tentative="1">
      <w:start w:val="1"/>
      <w:numFmt w:val="bullet"/>
      <w:lvlText w:val=""/>
      <w:lvlJc w:val="left"/>
      <w:pPr>
        <w:ind w:left="3733" w:hanging="360"/>
      </w:pPr>
      <w:rPr>
        <w:rFonts w:ascii="Wingdings" w:hAnsi="Wingdings" w:hint="default"/>
      </w:rPr>
    </w:lvl>
    <w:lvl w:ilvl="6" w:tplc="04130001" w:tentative="1">
      <w:start w:val="1"/>
      <w:numFmt w:val="bullet"/>
      <w:lvlText w:val=""/>
      <w:lvlJc w:val="left"/>
      <w:pPr>
        <w:ind w:left="4453" w:hanging="360"/>
      </w:pPr>
      <w:rPr>
        <w:rFonts w:ascii="Symbol" w:hAnsi="Symbol" w:hint="default"/>
      </w:rPr>
    </w:lvl>
    <w:lvl w:ilvl="7" w:tplc="04130003" w:tentative="1">
      <w:start w:val="1"/>
      <w:numFmt w:val="bullet"/>
      <w:lvlText w:val="o"/>
      <w:lvlJc w:val="left"/>
      <w:pPr>
        <w:ind w:left="5173" w:hanging="360"/>
      </w:pPr>
      <w:rPr>
        <w:rFonts w:ascii="Courier New" w:hAnsi="Courier New" w:cs="Courier New" w:hint="default"/>
      </w:rPr>
    </w:lvl>
    <w:lvl w:ilvl="8" w:tplc="04130005" w:tentative="1">
      <w:start w:val="1"/>
      <w:numFmt w:val="bullet"/>
      <w:lvlText w:val=""/>
      <w:lvlJc w:val="left"/>
      <w:pPr>
        <w:ind w:left="5893" w:hanging="360"/>
      </w:pPr>
      <w:rPr>
        <w:rFonts w:ascii="Wingdings" w:hAnsi="Wingdings" w:hint="default"/>
      </w:rPr>
    </w:lvl>
  </w:abstractNum>
  <w:abstractNum w:abstractNumId="14" w15:restartNumberingAfterBreak="0">
    <w:nsid w:val="1F3B536D"/>
    <w:multiLevelType w:val="multilevel"/>
    <w:tmpl w:val="2500CEA4"/>
    <w:lvl w:ilvl="0">
      <w:start w:val="3"/>
      <w:numFmt w:val="decimal"/>
      <w:lvlText w:val="%1"/>
      <w:lvlJc w:val="left"/>
      <w:pPr>
        <w:ind w:left="-802" w:hanging="360"/>
      </w:pPr>
      <w:rPr>
        <w:rFonts w:hint="default"/>
      </w:rPr>
    </w:lvl>
    <w:lvl w:ilvl="1">
      <w:start w:val="2"/>
      <w:numFmt w:val="decimal"/>
      <w:isLgl/>
      <w:lvlText w:val="%1.%2"/>
      <w:lvlJc w:val="left"/>
      <w:pPr>
        <w:ind w:left="-442" w:hanging="720"/>
      </w:pPr>
      <w:rPr>
        <w:rFonts w:hint="default"/>
      </w:rPr>
    </w:lvl>
    <w:lvl w:ilvl="2">
      <w:start w:val="1"/>
      <w:numFmt w:val="decimal"/>
      <w:isLgl/>
      <w:lvlText w:val="%1.%2.%3"/>
      <w:lvlJc w:val="left"/>
      <w:pPr>
        <w:ind w:left="-442" w:hanging="720"/>
      </w:pPr>
      <w:rPr>
        <w:rFonts w:hint="default"/>
      </w:rPr>
    </w:lvl>
    <w:lvl w:ilvl="3">
      <w:start w:val="1"/>
      <w:numFmt w:val="decimal"/>
      <w:isLgl/>
      <w:lvlText w:val="%1.%2.%3.%4"/>
      <w:lvlJc w:val="left"/>
      <w:pPr>
        <w:ind w:left="-82" w:hanging="1080"/>
      </w:pPr>
      <w:rPr>
        <w:rFonts w:hint="default"/>
      </w:rPr>
    </w:lvl>
    <w:lvl w:ilvl="4">
      <w:start w:val="1"/>
      <w:numFmt w:val="decimal"/>
      <w:isLgl/>
      <w:lvlText w:val="%1.%2.%3.%4.%5"/>
      <w:lvlJc w:val="left"/>
      <w:pPr>
        <w:ind w:left="-82" w:hanging="1080"/>
      </w:pPr>
      <w:rPr>
        <w:rFonts w:hint="default"/>
      </w:rPr>
    </w:lvl>
    <w:lvl w:ilvl="5">
      <w:start w:val="1"/>
      <w:numFmt w:val="decimal"/>
      <w:isLgl/>
      <w:lvlText w:val="%1.%2.%3.%4.%5.%6"/>
      <w:lvlJc w:val="left"/>
      <w:pPr>
        <w:ind w:left="278" w:hanging="1440"/>
      </w:pPr>
      <w:rPr>
        <w:rFonts w:hint="default"/>
      </w:rPr>
    </w:lvl>
    <w:lvl w:ilvl="6">
      <w:start w:val="1"/>
      <w:numFmt w:val="decimal"/>
      <w:isLgl/>
      <w:lvlText w:val="%1.%2.%3.%4.%5.%6.%7"/>
      <w:lvlJc w:val="left"/>
      <w:pPr>
        <w:ind w:left="638" w:hanging="1800"/>
      </w:pPr>
      <w:rPr>
        <w:rFonts w:hint="default"/>
      </w:rPr>
    </w:lvl>
    <w:lvl w:ilvl="7">
      <w:start w:val="1"/>
      <w:numFmt w:val="decimal"/>
      <w:isLgl/>
      <w:lvlText w:val="%1.%2.%3.%4.%5.%6.%7.%8"/>
      <w:lvlJc w:val="left"/>
      <w:pPr>
        <w:ind w:left="638" w:hanging="1800"/>
      </w:pPr>
      <w:rPr>
        <w:rFonts w:hint="default"/>
      </w:rPr>
    </w:lvl>
    <w:lvl w:ilvl="8">
      <w:start w:val="1"/>
      <w:numFmt w:val="decimal"/>
      <w:isLgl/>
      <w:lvlText w:val="%1.%2.%3.%4.%5.%6.%7.%8.%9"/>
      <w:lvlJc w:val="left"/>
      <w:pPr>
        <w:ind w:left="998" w:hanging="2160"/>
      </w:pPr>
      <w:rPr>
        <w:rFonts w:hint="default"/>
      </w:rPr>
    </w:lvl>
  </w:abstractNum>
  <w:abstractNum w:abstractNumId="15" w15:restartNumberingAfterBreak="0">
    <w:nsid w:val="1F803251"/>
    <w:multiLevelType w:val="hybridMultilevel"/>
    <w:tmpl w:val="00308E16"/>
    <w:lvl w:ilvl="0" w:tplc="7CB8302C">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28E5206"/>
    <w:multiLevelType w:val="hybridMultilevel"/>
    <w:tmpl w:val="0CE4D9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22F82FF2"/>
    <w:multiLevelType w:val="multilevel"/>
    <w:tmpl w:val="5AEEDE88"/>
    <w:numStyleLink w:val="StyleBulleted"/>
  </w:abstractNum>
  <w:abstractNum w:abstractNumId="18" w15:restartNumberingAfterBreak="0">
    <w:nsid w:val="25614042"/>
    <w:multiLevelType w:val="hybridMultilevel"/>
    <w:tmpl w:val="8976F9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272E4A80"/>
    <w:multiLevelType w:val="hybridMultilevel"/>
    <w:tmpl w:val="C316A3A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0" w15:restartNumberingAfterBreak="0">
    <w:nsid w:val="320E7DDC"/>
    <w:multiLevelType w:val="multilevel"/>
    <w:tmpl w:val="5AEEDE88"/>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21" w15:restartNumberingAfterBreak="0">
    <w:nsid w:val="372126F2"/>
    <w:multiLevelType w:val="multilevel"/>
    <w:tmpl w:val="5AEEDE88"/>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22" w15:restartNumberingAfterBreak="0">
    <w:nsid w:val="38752550"/>
    <w:multiLevelType w:val="hybridMultilevel"/>
    <w:tmpl w:val="9C80422A"/>
    <w:lvl w:ilvl="0" w:tplc="17B82BDA">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39F36539"/>
    <w:multiLevelType w:val="hybridMultilevel"/>
    <w:tmpl w:val="2F681B3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4" w15:restartNumberingAfterBreak="0">
    <w:nsid w:val="3ADC3C4A"/>
    <w:multiLevelType w:val="multilevel"/>
    <w:tmpl w:val="9F0C18F8"/>
    <w:lvl w:ilvl="0">
      <w:start w:val="1"/>
      <w:numFmt w:val="decimal"/>
      <w:pStyle w:val="ListNumber"/>
      <w:lvlText w:val="%1."/>
      <w:lvlJc w:val="left"/>
      <w:pPr>
        <w:tabs>
          <w:tab w:val="num" w:pos="227"/>
        </w:tabs>
        <w:ind w:left="227" w:hanging="227"/>
      </w:pPr>
      <w:rPr>
        <w:rFonts w:ascii="Verdana" w:hAnsi="Verdana" w:hint="default"/>
        <w:sz w:val="18"/>
      </w:rPr>
    </w:lvl>
    <w:lvl w:ilvl="1">
      <w:start w:val="1"/>
      <w:numFmt w:val="bullet"/>
      <w:lvlText w:val="-"/>
      <w:lvlJc w:val="left"/>
      <w:pPr>
        <w:tabs>
          <w:tab w:val="num" w:pos="227"/>
        </w:tabs>
        <w:ind w:left="454" w:hanging="227"/>
      </w:pPr>
      <w:rPr>
        <w:rFonts w:ascii="Verdana" w:hAnsi="Verdana" w:hint="default"/>
      </w:rPr>
    </w:lvl>
    <w:lvl w:ilvl="2">
      <w:start w:val="1"/>
      <w:numFmt w:val="lowerRoman"/>
      <w:lvlText w:val="%3."/>
      <w:lvlJc w:val="right"/>
      <w:pPr>
        <w:tabs>
          <w:tab w:val="num" w:pos="2520"/>
        </w:tabs>
        <w:ind w:left="2520" w:hanging="180"/>
      </w:pPr>
      <w:rPr>
        <w:rFonts w:hint="default"/>
      </w:rPr>
    </w:lvl>
    <w:lvl w:ilvl="3">
      <w:numFmt w:val="none"/>
      <w:lvlText w:val=""/>
      <w:lvlJc w:val="left"/>
      <w:pPr>
        <w:tabs>
          <w:tab w:val="num" w:pos="360"/>
        </w:tabs>
        <w:ind w:left="0" w:firstLine="0"/>
      </w:pPr>
      <w:rPr>
        <w:rFonts w:hint="default"/>
      </w:rPr>
    </w:lvl>
    <w:lvl w:ilvl="4">
      <w:numFmt w:val="none"/>
      <w:lvlText w:val=""/>
      <w:lvlJc w:val="left"/>
      <w:pPr>
        <w:tabs>
          <w:tab w:val="num" w:pos="360"/>
        </w:tabs>
        <w:ind w:left="0" w:firstLine="0"/>
      </w:pPr>
      <w:rPr>
        <w:rFonts w:hint="default"/>
      </w:rPr>
    </w:lvl>
    <w:lvl w:ilvl="5">
      <w:numFmt w:val="none"/>
      <w:lvlText w:val=""/>
      <w:lvlJc w:val="left"/>
      <w:pPr>
        <w:tabs>
          <w:tab w:val="num" w:pos="360"/>
        </w:tabs>
        <w:ind w:left="0" w:firstLine="0"/>
      </w:pPr>
      <w:rPr>
        <w:rFonts w:hint="default"/>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abstractNum w:abstractNumId="25" w15:restartNumberingAfterBreak="0">
    <w:nsid w:val="408335F4"/>
    <w:multiLevelType w:val="multilevel"/>
    <w:tmpl w:val="5AEEDE88"/>
    <w:numStyleLink w:val="StyleBulleted"/>
  </w:abstractNum>
  <w:abstractNum w:abstractNumId="26" w15:restartNumberingAfterBreak="0">
    <w:nsid w:val="4C6D2E8B"/>
    <w:multiLevelType w:val="multilevel"/>
    <w:tmpl w:val="723E1294"/>
    <w:lvl w:ilvl="0">
      <w:start w:val="4"/>
      <w:numFmt w:val="decimal"/>
      <w:lvlText w:val="%1"/>
      <w:lvlJc w:val="left"/>
      <w:pPr>
        <w:ind w:left="360" w:hanging="360"/>
      </w:pPr>
      <w:rPr>
        <w:rFonts w:hint="default"/>
      </w:rPr>
    </w:lvl>
    <w:lvl w:ilvl="1">
      <w:start w:val="2"/>
      <w:numFmt w:val="decimal"/>
      <w:lvlText w:val="%1.%2"/>
      <w:lvlJc w:val="left"/>
      <w:pPr>
        <w:ind w:left="-442" w:hanging="720"/>
      </w:pPr>
      <w:rPr>
        <w:rFonts w:hint="default"/>
      </w:rPr>
    </w:lvl>
    <w:lvl w:ilvl="2">
      <w:start w:val="1"/>
      <w:numFmt w:val="decimal"/>
      <w:lvlText w:val="%1.%2.%3"/>
      <w:lvlJc w:val="left"/>
      <w:pPr>
        <w:ind w:left="-1604" w:hanging="720"/>
      </w:pPr>
      <w:rPr>
        <w:rFonts w:hint="default"/>
      </w:rPr>
    </w:lvl>
    <w:lvl w:ilvl="3">
      <w:start w:val="1"/>
      <w:numFmt w:val="decimal"/>
      <w:lvlText w:val="%1.%2.%3.%4"/>
      <w:lvlJc w:val="left"/>
      <w:pPr>
        <w:ind w:left="-2406" w:hanging="1080"/>
      </w:pPr>
      <w:rPr>
        <w:rFonts w:hint="default"/>
      </w:rPr>
    </w:lvl>
    <w:lvl w:ilvl="4">
      <w:start w:val="1"/>
      <w:numFmt w:val="decimal"/>
      <w:lvlText w:val="%1.%2.%3.%4.%5"/>
      <w:lvlJc w:val="left"/>
      <w:pPr>
        <w:ind w:left="-3568" w:hanging="1080"/>
      </w:pPr>
      <w:rPr>
        <w:rFonts w:hint="default"/>
      </w:rPr>
    </w:lvl>
    <w:lvl w:ilvl="5">
      <w:start w:val="1"/>
      <w:numFmt w:val="decimal"/>
      <w:lvlText w:val="%1.%2.%3.%4.%5.%6"/>
      <w:lvlJc w:val="left"/>
      <w:pPr>
        <w:ind w:left="-4370" w:hanging="1440"/>
      </w:pPr>
      <w:rPr>
        <w:rFonts w:hint="default"/>
      </w:rPr>
    </w:lvl>
    <w:lvl w:ilvl="6">
      <w:start w:val="1"/>
      <w:numFmt w:val="decimal"/>
      <w:lvlText w:val="%1.%2.%3.%4.%5.%6.%7"/>
      <w:lvlJc w:val="left"/>
      <w:pPr>
        <w:ind w:left="-5172" w:hanging="1800"/>
      </w:pPr>
      <w:rPr>
        <w:rFonts w:hint="default"/>
      </w:rPr>
    </w:lvl>
    <w:lvl w:ilvl="7">
      <w:start w:val="1"/>
      <w:numFmt w:val="decimal"/>
      <w:lvlText w:val="%1.%2.%3.%4.%5.%6.%7.%8"/>
      <w:lvlJc w:val="left"/>
      <w:pPr>
        <w:ind w:left="-6334" w:hanging="1800"/>
      </w:pPr>
      <w:rPr>
        <w:rFonts w:hint="default"/>
      </w:rPr>
    </w:lvl>
    <w:lvl w:ilvl="8">
      <w:start w:val="1"/>
      <w:numFmt w:val="decimal"/>
      <w:lvlText w:val="%1.%2.%3.%4.%5.%6.%7.%8.%9"/>
      <w:lvlJc w:val="left"/>
      <w:pPr>
        <w:ind w:left="-7136" w:hanging="2160"/>
      </w:pPr>
      <w:rPr>
        <w:rFonts w:hint="default"/>
      </w:rPr>
    </w:lvl>
  </w:abstractNum>
  <w:abstractNum w:abstractNumId="27" w15:restartNumberingAfterBreak="0">
    <w:nsid w:val="4E153E44"/>
    <w:multiLevelType w:val="hybridMultilevel"/>
    <w:tmpl w:val="0A604BA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4E207249"/>
    <w:multiLevelType w:val="hybridMultilevel"/>
    <w:tmpl w:val="69405766"/>
    <w:lvl w:ilvl="0" w:tplc="8BF24382">
      <w:start w:val="3"/>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50D246BB"/>
    <w:multiLevelType w:val="hybridMultilevel"/>
    <w:tmpl w:val="8E7C960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5D750EE7"/>
    <w:multiLevelType w:val="multilevel"/>
    <w:tmpl w:val="5AEEDE88"/>
    <w:numStyleLink w:val="StyleBulleted"/>
  </w:abstractNum>
  <w:abstractNum w:abstractNumId="31" w15:restartNumberingAfterBreak="0">
    <w:nsid w:val="5FD11CC6"/>
    <w:multiLevelType w:val="multilevel"/>
    <w:tmpl w:val="3F7A972E"/>
    <w:lvl w:ilvl="0">
      <w:start w:val="1"/>
      <w:numFmt w:val="decimal"/>
      <w:lvlText w:val="%1"/>
      <w:lvlJc w:val="left"/>
      <w:pPr>
        <w:tabs>
          <w:tab w:val="num" w:pos="360"/>
        </w:tabs>
        <w:ind w:left="360" w:hanging="1160"/>
      </w:pPr>
      <w:rPr>
        <w:rFonts w:ascii="Verdana" w:hAnsi="Verdana" w:hint="default"/>
        <w:b/>
        <w:i w:val="0"/>
        <w:sz w:val="18"/>
      </w:rPr>
    </w:lvl>
    <w:lvl w:ilvl="1">
      <w:start w:val="1"/>
      <w:numFmt w:val="decimal"/>
      <w:lvlText w:val="%1.%2"/>
      <w:lvlJc w:val="left"/>
      <w:pPr>
        <w:tabs>
          <w:tab w:val="num" w:pos="0"/>
        </w:tabs>
        <w:ind w:left="0" w:hanging="1160"/>
      </w:pPr>
      <w:rPr>
        <w:rFonts w:ascii="Verdana" w:hAnsi="Verdana" w:hint="default"/>
        <w:b w:val="0"/>
        <w:i w:val="0"/>
        <w:sz w:val="18"/>
      </w:rPr>
    </w:lvl>
    <w:lvl w:ilvl="2">
      <w:start w:val="1"/>
      <w:numFmt w:val="decimal"/>
      <w:lvlText w:val="%1.%2.%3"/>
      <w:lvlJc w:val="left"/>
      <w:pPr>
        <w:tabs>
          <w:tab w:val="num" w:pos="0"/>
        </w:tabs>
        <w:ind w:left="0" w:hanging="1160"/>
      </w:pPr>
      <w:rPr>
        <w:rFonts w:hint="default"/>
      </w:rPr>
    </w:lvl>
    <w:lvl w:ilvl="3">
      <w:start w:val="1"/>
      <w:numFmt w:val="decimal"/>
      <w:lvlText w:val="%1.%2.%3.%4"/>
      <w:lvlJc w:val="left"/>
      <w:pPr>
        <w:tabs>
          <w:tab w:val="num" w:pos="540"/>
        </w:tabs>
        <w:ind w:left="540" w:hanging="1160"/>
      </w:pPr>
      <w:rPr>
        <w:rFonts w:hint="default"/>
      </w:rPr>
    </w:lvl>
    <w:lvl w:ilvl="4">
      <w:start w:val="1"/>
      <w:numFmt w:val="decimal"/>
      <w:lvlText w:val="%1.%2.%3.%4.%5"/>
      <w:lvlJc w:val="left"/>
      <w:pPr>
        <w:tabs>
          <w:tab w:val="num" w:pos="388"/>
        </w:tabs>
        <w:ind w:left="388" w:hanging="1008"/>
      </w:pPr>
      <w:rPr>
        <w:rFonts w:hint="default"/>
      </w:rPr>
    </w:lvl>
    <w:lvl w:ilvl="5">
      <w:start w:val="1"/>
      <w:numFmt w:val="decimal"/>
      <w:pStyle w:val="Heading6"/>
      <w:lvlText w:val="%1.%2.%3.%4.%5.%6"/>
      <w:lvlJc w:val="left"/>
      <w:pPr>
        <w:tabs>
          <w:tab w:val="num" w:pos="532"/>
        </w:tabs>
        <w:ind w:left="532" w:hanging="1152"/>
      </w:pPr>
      <w:rPr>
        <w:rFonts w:hint="default"/>
      </w:rPr>
    </w:lvl>
    <w:lvl w:ilvl="6">
      <w:start w:val="1"/>
      <w:numFmt w:val="decimal"/>
      <w:pStyle w:val="Heading7"/>
      <w:lvlText w:val="%1.%2.%3.%4.%5.%6.%7"/>
      <w:lvlJc w:val="left"/>
      <w:pPr>
        <w:tabs>
          <w:tab w:val="num" w:pos="676"/>
        </w:tabs>
        <w:ind w:left="676" w:hanging="1296"/>
      </w:pPr>
      <w:rPr>
        <w:rFonts w:hint="default"/>
      </w:rPr>
    </w:lvl>
    <w:lvl w:ilvl="7">
      <w:start w:val="1"/>
      <w:numFmt w:val="decimal"/>
      <w:pStyle w:val="Heading8"/>
      <w:lvlText w:val="%8"/>
      <w:lvlJc w:val="left"/>
      <w:pPr>
        <w:tabs>
          <w:tab w:val="num" w:pos="820"/>
        </w:tabs>
        <w:ind w:left="820" w:hanging="1440"/>
      </w:pPr>
      <w:rPr>
        <w:rFonts w:hint="default"/>
      </w:rPr>
    </w:lvl>
    <w:lvl w:ilvl="8">
      <w:start w:val="1"/>
      <w:numFmt w:val="decimal"/>
      <w:pStyle w:val="Heading9"/>
      <w:lvlText w:val="%8.%9"/>
      <w:lvlJc w:val="left"/>
      <w:pPr>
        <w:tabs>
          <w:tab w:val="num" w:pos="964"/>
        </w:tabs>
        <w:ind w:left="964" w:hanging="1584"/>
      </w:pPr>
      <w:rPr>
        <w:rFonts w:hint="default"/>
      </w:rPr>
    </w:lvl>
  </w:abstractNum>
  <w:abstractNum w:abstractNumId="32" w15:restartNumberingAfterBreak="0">
    <w:nsid w:val="63404D5D"/>
    <w:multiLevelType w:val="multilevel"/>
    <w:tmpl w:val="5AEEDE88"/>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33" w15:restartNumberingAfterBreak="0">
    <w:nsid w:val="63A20AAC"/>
    <w:multiLevelType w:val="multilevel"/>
    <w:tmpl w:val="5AEEDE88"/>
    <w:numStyleLink w:val="StyleBulleted"/>
  </w:abstractNum>
  <w:abstractNum w:abstractNumId="34" w15:restartNumberingAfterBreak="0">
    <w:nsid w:val="65441EC1"/>
    <w:multiLevelType w:val="multilevel"/>
    <w:tmpl w:val="73E8F73E"/>
    <w:lvl w:ilvl="0">
      <w:start w:val="1"/>
      <w:numFmt w:val="bullet"/>
      <w:pStyle w:val="ListBullet"/>
      <w:lvlText w:val=""/>
      <w:lvlJc w:val="left"/>
      <w:pPr>
        <w:tabs>
          <w:tab w:val="num" w:pos="227"/>
        </w:tabs>
        <w:ind w:left="227" w:hanging="227"/>
      </w:pPr>
      <w:rPr>
        <w:rFonts w:ascii="Symbol" w:hAnsi="Symbol"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lowerRoman"/>
      <w:lvlText w:val="%3."/>
      <w:lvlJc w:val="right"/>
      <w:pPr>
        <w:tabs>
          <w:tab w:val="num" w:pos="2747"/>
        </w:tabs>
        <w:ind w:left="2747" w:hanging="180"/>
      </w:pPr>
      <w:rPr>
        <w:rFonts w:hint="default"/>
      </w:rPr>
    </w:lvl>
    <w:lvl w:ilvl="3">
      <w:start w:val="1"/>
      <w:numFmt w:val="decimal"/>
      <w:lvlText w:val="%4."/>
      <w:lvlJc w:val="left"/>
      <w:pPr>
        <w:tabs>
          <w:tab w:val="num" w:pos="3467"/>
        </w:tabs>
        <w:ind w:left="3467" w:hanging="360"/>
      </w:pPr>
      <w:rPr>
        <w:rFonts w:hint="default"/>
      </w:rPr>
    </w:lvl>
    <w:lvl w:ilvl="4">
      <w:start w:val="1"/>
      <w:numFmt w:val="lowerLetter"/>
      <w:lvlText w:val="%5."/>
      <w:lvlJc w:val="left"/>
      <w:pPr>
        <w:tabs>
          <w:tab w:val="num" w:pos="4187"/>
        </w:tabs>
        <w:ind w:left="4187" w:hanging="360"/>
      </w:pPr>
      <w:rPr>
        <w:rFonts w:hint="default"/>
      </w:rPr>
    </w:lvl>
    <w:lvl w:ilvl="5">
      <w:start w:val="1"/>
      <w:numFmt w:val="lowerRoman"/>
      <w:lvlText w:val="%6."/>
      <w:lvlJc w:val="right"/>
      <w:pPr>
        <w:tabs>
          <w:tab w:val="num" w:pos="4907"/>
        </w:tabs>
        <w:ind w:left="4907" w:hanging="180"/>
      </w:pPr>
      <w:rPr>
        <w:rFonts w:hint="default"/>
      </w:rPr>
    </w:lvl>
    <w:lvl w:ilvl="6">
      <w:start w:val="1"/>
      <w:numFmt w:val="decimal"/>
      <w:lvlText w:val="%7."/>
      <w:lvlJc w:val="left"/>
      <w:pPr>
        <w:tabs>
          <w:tab w:val="num" w:pos="5627"/>
        </w:tabs>
        <w:ind w:left="5627" w:hanging="360"/>
      </w:pPr>
      <w:rPr>
        <w:rFonts w:hint="default"/>
      </w:rPr>
    </w:lvl>
    <w:lvl w:ilvl="7">
      <w:start w:val="1"/>
      <w:numFmt w:val="lowerLetter"/>
      <w:lvlText w:val="%8."/>
      <w:lvlJc w:val="left"/>
      <w:pPr>
        <w:tabs>
          <w:tab w:val="num" w:pos="6347"/>
        </w:tabs>
        <w:ind w:left="6347" w:hanging="360"/>
      </w:pPr>
      <w:rPr>
        <w:rFonts w:hint="default"/>
      </w:rPr>
    </w:lvl>
    <w:lvl w:ilvl="8">
      <w:start w:val="1"/>
      <w:numFmt w:val="lowerRoman"/>
      <w:lvlText w:val="%9."/>
      <w:lvlJc w:val="right"/>
      <w:pPr>
        <w:tabs>
          <w:tab w:val="num" w:pos="7067"/>
        </w:tabs>
        <w:ind w:left="7067" w:hanging="180"/>
      </w:pPr>
      <w:rPr>
        <w:rFonts w:hint="default"/>
      </w:rPr>
    </w:lvl>
  </w:abstractNum>
  <w:abstractNum w:abstractNumId="35" w15:restartNumberingAfterBreak="0">
    <w:nsid w:val="6B696A63"/>
    <w:multiLevelType w:val="multilevel"/>
    <w:tmpl w:val="5AEEDE88"/>
    <w:styleLink w:val="StyleBulleted"/>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36" w15:restartNumberingAfterBreak="0">
    <w:nsid w:val="6D193965"/>
    <w:multiLevelType w:val="multilevel"/>
    <w:tmpl w:val="5AEEDE88"/>
    <w:numStyleLink w:val="StyleBulleted"/>
  </w:abstractNum>
  <w:abstractNum w:abstractNumId="37" w15:restartNumberingAfterBreak="0">
    <w:nsid w:val="6F1B2CBC"/>
    <w:multiLevelType w:val="multilevel"/>
    <w:tmpl w:val="5AEEDE88"/>
    <w:numStyleLink w:val="StyleBulleted"/>
  </w:abstractNum>
  <w:abstractNum w:abstractNumId="38" w15:restartNumberingAfterBreak="0">
    <w:nsid w:val="71A63D82"/>
    <w:multiLevelType w:val="multilevel"/>
    <w:tmpl w:val="5AEEDE88"/>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39" w15:restartNumberingAfterBreak="0">
    <w:nsid w:val="77555624"/>
    <w:multiLevelType w:val="multilevel"/>
    <w:tmpl w:val="53AC82DE"/>
    <w:lvl w:ilvl="0">
      <w:start w:val="3"/>
      <w:numFmt w:val="decimal"/>
      <w:lvlText w:val="%1"/>
      <w:lvlJc w:val="left"/>
      <w:pPr>
        <w:ind w:left="360" w:hanging="360"/>
      </w:pPr>
      <w:rPr>
        <w:rFonts w:hint="default"/>
      </w:rPr>
    </w:lvl>
    <w:lvl w:ilvl="1">
      <w:start w:val="1"/>
      <w:numFmt w:val="decimal"/>
      <w:lvlText w:val="%1.%2"/>
      <w:lvlJc w:val="left"/>
      <w:pPr>
        <w:ind w:left="-802" w:hanging="360"/>
      </w:pPr>
      <w:rPr>
        <w:rFonts w:hint="default"/>
      </w:rPr>
    </w:lvl>
    <w:lvl w:ilvl="2">
      <w:start w:val="1"/>
      <w:numFmt w:val="decimal"/>
      <w:lvlText w:val="%1.%2.%3"/>
      <w:lvlJc w:val="left"/>
      <w:pPr>
        <w:ind w:left="-1604" w:hanging="720"/>
      </w:pPr>
      <w:rPr>
        <w:rFonts w:hint="default"/>
      </w:rPr>
    </w:lvl>
    <w:lvl w:ilvl="3">
      <w:start w:val="1"/>
      <w:numFmt w:val="decimal"/>
      <w:lvlText w:val="%1.%2.%3.%4"/>
      <w:lvlJc w:val="left"/>
      <w:pPr>
        <w:ind w:left="-2406" w:hanging="1080"/>
      </w:pPr>
      <w:rPr>
        <w:rFonts w:hint="default"/>
      </w:rPr>
    </w:lvl>
    <w:lvl w:ilvl="4">
      <w:start w:val="1"/>
      <w:numFmt w:val="decimal"/>
      <w:lvlText w:val="%1.%2.%3.%4.%5"/>
      <w:lvlJc w:val="left"/>
      <w:pPr>
        <w:ind w:left="-3568" w:hanging="1080"/>
      </w:pPr>
      <w:rPr>
        <w:rFonts w:hint="default"/>
      </w:rPr>
    </w:lvl>
    <w:lvl w:ilvl="5">
      <w:start w:val="1"/>
      <w:numFmt w:val="decimal"/>
      <w:lvlText w:val="%1.%2.%3.%4.%5.%6"/>
      <w:lvlJc w:val="left"/>
      <w:pPr>
        <w:ind w:left="-4370" w:hanging="1440"/>
      </w:pPr>
      <w:rPr>
        <w:rFonts w:hint="default"/>
      </w:rPr>
    </w:lvl>
    <w:lvl w:ilvl="6">
      <w:start w:val="1"/>
      <w:numFmt w:val="decimal"/>
      <w:lvlText w:val="%1.%2.%3.%4.%5.%6.%7"/>
      <w:lvlJc w:val="left"/>
      <w:pPr>
        <w:ind w:left="-5532" w:hanging="1440"/>
      </w:pPr>
      <w:rPr>
        <w:rFonts w:hint="default"/>
      </w:rPr>
    </w:lvl>
    <w:lvl w:ilvl="7">
      <w:start w:val="1"/>
      <w:numFmt w:val="decimal"/>
      <w:lvlText w:val="%1.%2.%3.%4.%5.%6.%7.%8"/>
      <w:lvlJc w:val="left"/>
      <w:pPr>
        <w:ind w:left="-6334" w:hanging="1800"/>
      </w:pPr>
      <w:rPr>
        <w:rFonts w:hint="default"/>
      </w:rPr>
    </w:lvl>
    <w:lvl w:ilvl="8">
      <w:start w:val="1"/>
      <w:numFmt w:val="decimal"/>
      <w:lvlText w:val="%1.%2.%3.%4.%5.%6.%7.%8.%9"/>
      <w:lvlJc w:val="left"/>
      <w:pPr>
        <w:ind w:left="-7136" w:hanging="2160"/>
      </w:pPr>
      <w:rPr>
        <w:rFonts w:hint="default"/>
      </w:rPr>
    </w:lvl>
  </w:abstractNum>
  <w:abstractNum w:abstractNumId="40" w15:restartNumberingAfterBreak="0">
    <w:nsid w:val="7AE14C9B"/>
    <w:multiLevelType w:val="hybridMultilevel"/>
    <w:tmpl w:val="267A610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1" w15:restartNumberingAfterBreak="0">
    <w:nsid w:val="7BA00343"/>
    <w:multiLevelType w:val="hybridMultilevel"/>
    <w:tmpl w:val="BBDA406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2" w15:restartNumberingAfterBreak="0">
    <w:nsid w:val="7EF712BA"/>
    <w:multiLevelType w:val="hybridMultilevel"/>
    <w:tmpl w:val="036C957E"/>
    <w:lvl w:ilvl="0" w:tplc="2926ECE8">
      <w:start w:val="2"/>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1"/>
  </w:num>
  <w:num w:numId="2">
    <w:abstractNumId w:val="34"/>
  </w:num>
  <w:num w:numId="3">
    <w:abstractNumId w:val="24"/>
  </w:num>
  <w:num w:numId="4">
    <w:abstractNumId w:val="0"/>
  </w:num>
  <w:num w:numId="5">
    <w:abstractNumId w:val="35"/>
  </w:num>
  <w:num w:numId="6">
    <w:abstractNumId w:val="3"/>
  </w:num>
  <w:num w:numId="7">
    <w:abstractNumId w:val="15"/>
  </w:num>
  <w:num w:numId="8">
    <w:abstractNumId w:val="37"/>
  </w:num>
  <w:num w:numId="9">
    <w:abstractNumId w:val="33"/>
  </w:num>
  <w:num w:numId="10">
    <w:abstractNumId w:val="17"/>
  </w:num>
  <w:num w:numId="11">
    <w:abstractNumId w:val="9"/>
  </w:num>
  <w:num w:numId="12">
    <w:abstractNumId w:val="36"/>
  </w:num>
  <w:num w:numId="13">
    <w:abstractNumId w:val="21"/>
  </w:num>
  <w:num w:numId="14">
    <w:abstractNumId w:val="2"/>
  </w:num>
  <w:num w:numId="15">
    <w:abstractNumId w:val="11"/>
  </w:num>
  <w:num w:numId="16">
    <w:abstractNumId w:val="32"/>
  </w:num>
  <w:num w:numId="17">
    <w:abstractNumId w:val="25"/>
  </w:num>
  <w:num w:numId="18">
    <w:abstractNumId w:val="30"/>
  </w:num>
  <w:num w:numId="19">
    <w:abstractNumId w:val="20"/>
  </w:num>
  <w:num w:numId="20">
    <w:abstractNumId w:val="39"/>
  </w:num>
  <w:num w:numId="21">
    <w:abstractNumId w:val="7"/>
  </w:num>
  <w:num w:numId="22">
    <w:abstractNumId w:val="26"/>
  </w:num>
  <w:num w:numId="23">
    <w:abstractNumId w:val="40"/>
  </w:num>
  <w:num w:numId="24">
    <w:abstractNumId w:val="18"/>
  </w:num>
  <w:num w:numId="25">
    <w:abstractNumId w:val="18"/>
  </w:num>
  <w:num w:numId="26">
    <w:abstractNumId w:val="13"/>
  </w:num>
  <w:num w:numId="27">
    <w:abstractNumId w:val="12"/>
  </w:num>
  <w:num w:numId="28">
    <w:abstractNumId w:val="10"/>
  </w:num>
  <w:num w:numId="29">
    <w:abstractNumId w:val="8"/>
  </w:num>
  <w:num w:numId="30">
    <w:abstractNumId w:val="4"/>
  </w:num>
  <w:num w:numId="31">
    <w:abstractNumId w:val="23"/>
  </w:num>
  <w:num w:numId="32">
    <w:abstractNumId w:val="22"/>
  </w:num>
  <w:num w:numId="33">
    <w:abstractNumId w:val="19"/>
  </w:num>
  <w:num w:numId="34">
    <w:abstractNumId w:val="41"/>
  </w:num>
  <w:num w:numId="35">
    <w:abstractNumId w:val="6"/>
  </w:num>
  <w:num w:numId="36">
    <w:abstractNumId w:val="28"/>
  </w:num>
  <w:num w:numId="37">
    <w:abstractNumId w:val="38"/>
  </w:num>
  <w:num w:numId="38">
    <w:abstractNumId w:val="16"/>
  </w:num>
  <w:num w:numId="39">
    <w:abstractNumId w:val="27"/>
  </w:num>
  <w:num w:numId="40">
    <w:abstractNumId w:val="1"/>
  </w:num>
  <w:num w:numId="41">
    <w:abstractNumId w:val="5"/>
  </w:num>
  <w:num w:numId="42">
    <w:abstractNumId w:val="42"/>
  </w:num>
  <w:num w:numId="43">
    <w:abstractNumId w:val="14"/>
  </w:num>
  <w:num w:numId="44">
    <w:abstractNumId w:val="2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activeWritingStyle w:appName="MSWord" w:lang="nl-NL"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fr-FR" w:vendorID="64" w:dllVersion="131078" w:nlCheck="1" w:checkStyle="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227"/>
  <w:hyphenationZone w:val="425"/>
  <w:characterSpacingControl w:val="doNotCompress"/>
  <w:hdrShapeDefaults>
    <o:shapedefaults v:ext="edit" spidmax="60417"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5F18"/>
    <w:rsid w:val="00000221"/>
    <w:rsid w:val="0000086C"/>
    <w:rsid w:val="0000250C"/>
    <w:rsid w:val="0000367D"/>
    <w:rsid w:val="0000392E"/>
    <w:rsid w:val="00003A32"/>
    <w:rsid w:val="00005884"/>
    <w:rsid w:val="00006E47"/>
    <w:rsid w:val="0001095C"/>
    <w:rsid w:val="000114F8"/>
    <w:rsid w:val="00012307"/>
    <w:rsid w:val="00013196"/>
    <w:rsid w:val="00016C57"/>
    <w:rsid w:val="00017F3A"/>
    <w:rsid w:val="00020189"/>
    <w:rsid w:val="00020EE4"/>
    <w:rsid w:val="000227EB"/>
    <w:rsid w:val="000234D6"/>
    <w:rsid w:val="00024C84"/>
    <w:rsid w:val="0002628D"/>
    <w:rsid w:val="00026447"/>
    <w:rsid w:val="0002695C"/>
    <w:rsid w:val="000304C1"/>
    <w:rsid w:val="00031268"/>
    <w:rsid w:val="00032C0E"/>
    <w:rsid w:val="00033419"/>
    <w:rsid w:val="00033426"/>
    <w:rsid w:val="00033950"/>
    <w:rsid w:val="00033E8D"/>
    <w:rsid w:val="00034A84"/>
    <w:rsid w:val="00035E67"/>
    <w:rsid w:val="0004192F"/>
    <w:rsid w:val="000422E7"/>
    <w:rsid w:val="00044514"/>
    <w:rsid w:val="00044809"/>
    <w:rsid w:val="00045A4F"/>
    <w:rsid w:val="00046866"/>
    <w:rsid w:val="00047318"/>
    <w:rsid w:val="000503BD"/>
    <w:rsid w:val="0005061F"/>
    <w:rsid w:val="00050ABD"/>
    <w:rsid w:val="00050B6A"/>
    <w:rsid w:val="00051416"/>
    <w:rsid w:val="000554A7"/>
    <w:rsid w:val="000559DE"/>
    <w:rsid w:val="00057B03"/>
    <w:rsid w:val="0006027D"/>
    <w:rsid w:val="000605A3"/>
    <w:rsid w:val="00066F2B"/>
    <w:rsid w:val="0006700B"/>
    <w:rsid w:val="000705D1"/>
    <w:rsid w:val="00071E70"/>
    <w:rsid w:val="00071F28"/>
    <w:rsid w:val="00072371"/>
    <w:rsid w:val="0007324B"/>
    <w:rsid w:val="00074B4F"/>
    <w:rsid w:val="00076FCC"/>
    <w:rsid w:val="00077900"/>
    <w:rsid w:val="00080AE8"/>
    <w:rsid w:val="00081825"/>
    <w:rsid w:val="00081DD4"/>
    <w:rsid w:val="0008255C"/>
    <w:rsid w:val="00082BB1"/>
    <w:rsid w:val="000842B5"/>
    <w:rsid w:val="000842F4"/>
    <w:rsid w:val="00085F22"/>
    <w:rsid w:val="0008640E"/>
    <w:rsid w:val="0008784B"/>
    <w:rsid w:val="00087FA0"/>
    <w:rsid w:val="000903DE"/>
    <w:rsid w:val="00090808"/>
    <w:rsid w:val="0009114D"/>
    <w:rsid w:val="000912C6"/>
    <w:rsid w:val="000924C1"/>
    <w:rsid w:val="00093522"/>
    <w:rsid w:val="00094518"/>
    <w:rsid w:val="00094A14"/>
    <w:rsid w:val="00094B45"/>
    <w:rsid w:val="00096680"/>
    <w:rsid w:val="00097B3F"/>
    <w:rsid w:val="000A01F6"/>
    <w:rsid w:val="000A0BB1"/>
    <w:rsid w:val="000A11EE"/>
    <w:rsid w:val="000A22CF"/>
    <w:rsid w:val="000A24B3"/>
    <w:rsid w:val="000A27FF"/>
    <w:rsid w:val="000A2DF7"/>
    <w:rsid w:val="000A381C"/>
    <w:rsid w:val="000A3AF6"/>
    <w:rsid w:val="000B2A0F"/>
    <w:rsid w:val="000B477F"/>
    <w:rsid w:val="000B64F8"/>
    <w:rsid w:val="000B7281"/>
    <w:rsid w:val="000B73BA"/>
    <w:rsid w:val="000B743B"/>
    <w:rsid w:val="000C05BF"/>
    <w:rsid w:val="000C0757"/>
    <w:rsid w:val="000C07A1"/>
    <w:rsid w:val="000C082E"/>
    <w:rsid w:val="000C0FB6"/>
    <w:rsid w:val="000C3F40"/>
    <w:rsid w:val="000C43A2"/>
    <w:rsid w:val="000C4679"/>
    <w:rsid w:val="000C521E"/>
    <w:rsid w:val="000C575D"/>
    <w:rsid w:val="000C5810"/>
    <w:rsid w:val="000C5E4F"/>
    <w:rsid w:val="000C6EED"/>
    <w:rsid w:val="000C7B90"/>
    <w:rsid w:val="000D2C16"/>
    <w:rsid w:val="000D3986"/>
    <w:rsid w:val="000D7BB7"/>
    <w:rsid w:val="000E15AA"/>
    <w:rsid w:val="000E21AD"/>
    <w:rsid w:val="000E6C30"/>
    <w:rsid w:val="000F03D7"/>
    <w:rsid w:val="000F1533"/>
    <w:rsid w:val="000F1A72"/>
    <w:rsid w:val="000F2632"/>
    <w:rsid w:val="000F46A7"/>
    <w:rsid w:val="000F4B53"/>
    <w:rsid w:val="000F53BE"/>
    <w:rsid w:val="000F6168"/>
    <w:rsid w:val="00101F98"/>
    <w:rsid w:val="00102DFB"/>
    <w:rsid w:val="001031E7"/>
    <w:rsid w:val="00104517"/>
    <w:rsid w:val="001069BA"/>
    <w:rsid w:val="00107EB4"/>
    <w:rsid w:val="001114D4"/>
    <w:rsid w:val="001120B5"/>
    <w:rsid w:val="001158E8"/>
    <w:rsid w:val="00116E2A"/>
    <w:rsid w:val="001210BF"/>
    <w:rsid w:val="00121AD6"/>
    <w:rsid w:val="00122BDB"/>
    <w:rsid w:val="00123082"/>
    <w:rsid w:val="00123408"/>
    <w:rsid w:val="00123704"/>
    <w:rsid w:val="00124B64"/>
    <w:rsid w:val="00125028"/>
    <w:rsid w:val="00125154"/>
    <w:rsid w:val="00125A07"/>
    <w:rsid w:val="001270C7"/>
    <w:rsid w:val="00130DA2"/>
    <w:rsid w:val="00131D1F"/>
    <w:rsid w:val="00133E4B"/>
    <w:rsid w:val="00134D07"/>
    <w:rsid w:val="00136130"/>
    <w:rsid w:val="00136D94"/>
    <w:rsid w:val="0014161D"/>
    <w:rsid w:val="00142259"/>
    <w:rsid w:val="00142628"/>
    <w:rsid w:val="00142859"/>
    <w:rsid w:val="001429A1"/>
    <w:rsid w:val="00142BCD"/>
    <w:rsid w:val="00144379"/>
    <w:rsid w:val="0014786A"/>
    <w:rsid w:val="0015109B"/>
    <w:rsid w:val="001516A4"/>
    <w:rsid w:val="00154AD8"/>
    <w:rsid w:val="00163E34"/>
    <w:rsid w:val="00163F42"/>
    <w:rsid w:val="00163F5B"/>
    <w:rsid w:val="00163FA2"/>
    <w:rsid w:val="00163FF4"/>
    <w:rsid w:val="00164384"/>
    <w:rsid w:val="00164D75"/>
    <w:rsid w:val="00165BCE"/>
    <w:rsid w:val="00166242"/>
    <w:rsid w:val="00167F79"/>
    <w:rsid w:val="00171AFC"/>
    <w:rsid w:val="001739A0"/>
    <w:rsid w:val="001753DD"/>
    <w:rsid w:val="001802CA"/>
    <w:rsid w:val="00180CBA"/>
    <w:rsid w:val="00181629"/>
    <w:rsid w:val="00181A35"/>
    <w:rsid w:val="00182C7C"/>
    <w:rsid w:val="00183CBA"/>
    <w:rsid w:val="00183FB1"/>
    <w:rsid w:val="00185576"/>
    <w:rsid w:val="00185951"/>
    <w:rsid w:val="00191587"/>
    <w:rsid w:val="00192687"/>
    <w:rsid w:val="0019336F"/>
    <w:rsid w:val="00193994"/>
    <w:rsid w:val="00194809"/>
    <w:rsid w:val="001952F9"/>
    <w:rsid w:val="00195B13"/>
    <w:rsid w:val="001A2505"/>
    <w:rsid w:val="001A4CE3"/>
    <w:rsid w:val="001A5422"/>
    <w:rsid w:val="001B0189"/>
    <w:rsid w:val="001B01D9"/>
    <w:rsid w:val="001B06FD"/>
    <w:rsid w:val="001B1B4E"/>
    <w:rsid w:val="001B2C4B"/>
    <w:rsid w:val="001B371B"/>
    <w:rsid w:val="001B5DC5"/>
    <w:rsid w:val="001B793F"/>
    <w:rsid w:val="001B7D7E"/>
    <w:rsid w:val="001C0CF4"/>
    <w:rsid w:val="001C1AF8"/>
    <w:rsid w:val="001C3A3F"/>
    <w:rsid w:val="001C3DBE"/>
    <w:rsid w:val="001C3DE6"/>
    <w:rsid w:val="001C47F8"/>
    <w:rsid w:val="001C49CC"/>
    <w:rsid w:val="001C6550"/>
    <w:rsid w:val="001C793E"/>
    <w:rsid w:val="001D0371"/>
    <w:rsid w:val="001D0FB6"/>
    <w:rsid w:val="001D288C"/>
    <w:rsid w:val="001D5178"/>
    <w:rsid w:val="001D6599"/>
    <w:rsid w:val="001D6CF5"/>
    <w:rsid w:val="001D7F60"/>
    <w:rsid w:val="001E1E35"/>
    <w:rsid w:val="001E2B9C"/>
    <w:rsid w:val="001E34C6"/>
    <w:rsid w:val="001E4D7F"/>
    <w:rsid w:val="001E5581"/>
    <w:rsid w:val="001E61D8"/>
    <w:rsid w:val="001E73BA"/>
    <w:rsid w:val="001F0250"/>
    <w:rsid w:val="001F0D75"/>
    <w:rsid w:val="001F0F20"/>
    <w:rsid w:val="001F2538"/>
    <w:rsid w:val="001F3AD3"/>
    <w:rsid w:val="001F4D72"/>
    <w:rsid w:val="001F562C"/>
    <w:rsid w:val="001F583B"/>
    <w:rsid w:val="001F6340"/>
    <w:rsid w:val="002007E8"/>
    <w:rsid w:val="002018D2"/>
    <w:rsid w:val="002068BD"/>
    <w:rsid w:val="00210629"/>
    <w:rsid w:val="00211122"/>
    <w:rsid w:val="00211B56"/>
    <w:rsid w:val="002121BE"/>
    <w:rsid w:val="0021384A"/>
    <w:rsid w:val="0021433D"/>
    <w:rsid w:val="00216302"/>
    <w:rsid w:val="002165AB"/>
    <w:rsid w:val="00216ADD"/>
    <w:rsid w:val="002212B1"/>
    <w:rsid w:val="00221806"/>
    <w:rsid w:val="002222A2"/>
    <w:rsid w:val="0022295F"/>
    <w:rsid w:val="00223818"/>
    <w:rsid w:val="00223E42"/>
    <w:rsid w:val="00234DF4"/>
    <w:rsid w:val="00234F48"/>
    <w:rsid w:val="00237401"/>
    <w:rsid w:val="00237F45"/>
    <w:rsid w:val="0024163C"/>
    <w:rsid w:val="00242356"/>
    <w:rsid w:val="002428E3"/>
    <w:rsid w:val="00247458"/>
    <w:rsid w:val="0025034D"/>
    <w:rsid w:val="00254103"/>
    <w:rsid w:val="002568BC"/>
    <w:rsid w:val="00256E73"/>
    <w:rsid w:val="002579E2"/>
    <w:rsid w:val="00260BAF"/>
    <w:rsid w:val="00261F77"/>
    <w:rsid w:val="002633CA"/>
    <w:rsid w:val="002644F5"/>
    <w:rsid w:val="00264CB9"/>
    <w:rsid w:val="002650F7"/>
    <w:rsid w:val="00266018"/>
    <w:rsid w:val="00267BA5"/>
    <w:rsid w:val="0027051F"/>
    <w:rsid w:val="002731C3"/>
    <w:rsid w:val="002733CD"/>
    <w:rsid w:val="0027471C"/>
    <w:rsid w:val="00277205"/>
    <w:rsid w:val="002778D9"/>
    <w:rsid w:val="002803F3"/>
    <w:rsid w:val="0028070F"/>
    <w:rsid w:val="00280CF7"/>
    <w:rsid w:val="00280F74"/>
    <w:rsid w:val="00281846"/>
    <w:rsid w:val="00283363"/>
    <w:rsid w:val="00286998"/>
    <w:rsid w:val="002874CC"/>
    <w:rsid w:val="002876D8"/>
    <w:rsid w:val="00290320"/>
    <w:rsid w:val="00290657"/>
    <w:rsid w:val="002912E8"/>
    <w:rsid w:val="002957DE"/>
    <w:rsid w:val="00296115"/>
    <w:rsid w:val="00297320"/>
    <w:rsid w:val="002A038E"/>
    <w:rsid w:val="002A149F"/>
    <w:rsid w:val="002A1CB5"/>
    <w:rsid w:val="002A310E"/>
    <w:rsid w:val="002A377A"/>
    <w:rsid w:val="002A5261"/>
    <w:rsid w:val="002A5D79"/>
    <w:rsid w:val="002A6BF7"/>
    <w:rsid w:val="002B0F2F"/>
    <w:rsid w:val="002B153C"/>
    <w:rsid w:val="002B7582"/>
    <w:rsid w:val="002B76D0"/>
    <w:rsid w:val="002C2320"/>
    <w:rsid w:val="002C3659"/>
    <w:rsid w:val="002C45B0"/>
    <w:rsid w:val="002C6064"/>
    <w:rsid w:val="002C6A05"/>
    <w:rsid w:val="002C7285"/>
    <w:rsid w:val="002C7362"/>
    <w:rsid w:val="002C75D9"/>
    <w:rsid w:val="002C77AF"/>
    <w:rsid w:val="002D1801"/>
    <w:rsid w:val="002D3129"/>
    <w:rsid w:val="002D317B"/>
    <w:rsid w:val="002D6BF5"/>
    <w:rsid w:val="002D70F3"/>
    <w:rsid w:val="002E05CA"/>
    <w:rsid w:val="002E0F69"/>
    <w:rsid w:val="002E14DF"/>
    <w:rsid w:val="002E14E1"/>
    <w:rsid w:val="002E184D"/>
    <w:rsid w:val="002E1FAD"/>
    <w:rsid w:val="002E3F64"/>
    <w:rsid w:val="002E44D1"/>
    <w:rsid w:val="002E572E"/>
    <w:rsid w:val="002E60FB"/>
    <w:rsid w:val="002E7903"/>
    <w:rsid w:val="002E7941"/>
    <w:rsid w:val="002F0C8C"/>
    <w:rsid w:val="002F1D5F"/>
    <w:rsid w:val="002F3182"/>
    <w:rsid w:val="002F35DC"/>
    <w:rsid w:val="002F3EA9"/>
    <w:rsid w:val="002F54A1"/>
    <w:rsid w:val="002F56DD"/>
    <w:rsid w:val="002F5E6C"/>
    <w:rsid w:val="002F6CE5"/>
    <w:rsid w:val="002F7070"/>
    <w:rsid w:val="0030018C"/>
    <w:rsid w:val="00300D9E"/>
    <w:rsid w:val="0030201A"/>
    <w:rsid w:val="00302C0A"/>
    <w:rsid w:val="00303724"/>
    <w:rsid w:val="003051CC"/>
    <w:rsid w:val="00306B7E"/>
    <w:rsid w:val="00307981"/>
    <w:rsid w:val="00307CF0"/>
    <w:rsid w:val="003107CC"/>
    <w:rsid w:val="00311D97"/>
    <w:rsid w:val="00312597"/>
    <w:rsid w:val="003139A4"/>
    <w:rsid w:val="00314129"/>
    <w:rsid w:val="003141DF"/>
    <w:rsid w:val="0031751C"/>
    <w:rsid w:val="00321AA3"/>
    <w:rsid w:val="00323EB8"/>
    <w:rsid w:val="00326699"/>
    <w:rsid w:val="0033173E"/>
    <w:rsid w:val="00331B8E"/>
    <w:rsid w:val="0033207E"/>
    <w:rsid w:val="00333036"/>
    <w:rsid w:val="003331DA"/>
    <w:rsid w:val="00333A9E"/>
    <w:rsid w:val="00334334"/>
    <w:rsid w:val="00335F89"/>
    <w:rsid w:val="003412ED"/>
    <w:rsid w:val="00341585"/>
    <w:rsid w:val="00342938"/>
    <w:rsid w:val="00342BBB"/>
    <w:rsid w:val="00343B4C"/>
    <w:rsid w:val="00343F24"/>
    <w:rsid w:val="003458FF"/>
    <w:rsid w:val="003477DF"/>
    <w:rsid w:val="00350DC8"/>
    <w:rsid w:val="00353D56"/>
    <w:rsid w:val="003554B8"/>
    <w:rsid w:val="00355575"/>
    <w:rsid w:val="003555BF"/>
    <w:rsid w:val="00357CE4"/>
    <w:rsid w:val="0036223B"/>
    <w:rsid w:val="0036252A"/>
    <w:rsid w:val="003646BF"/>
    <w:rsid w:val="00364D9D"/>
    <w:rsid w:val="003668AB"/>
    <w:rsid w:val="00371603"/>
    <w:rsid w:val="003735B9"/>
    <w:rsid w:val="003737A8"/>
    <w:rsid w:val="0037461E"/>
    <w:rsid w:val="00374748"/>
    <w:rsid w:val="00375F24"/>
    <w:rsid w:val="00382AE3"/>
    <w:rsid w:val="00383906"/>
    <w:rsid w:val="00383DA1"/>
    <w:rsid w:val="0038410B"/>
    <w:rsid w:val="003852B7"/>
    <w:rsid w:val="00387E90"/>
    <w:rsid w:val="003912B4"/>
    <w:rsid w:val="0039160C"/>
    <w:rsid w:val="00392007"/>
    <w:rsid w:val="0039660F"/>
    <w:rsid w:val="0039741E"/>
    <w:rsid w:val="0039744C"/>
    <w:rsid w:val="00397C46"/>
    <w:rsid w:val="003A06C8"/>
    <w:rsid w:val="003A0D7C"/>
    <w:rsid w:val="003A1E73"/>
    <w:rsid w:val="003A32D7"/>
    <w:rsid w:val="003A65E8"/>
    <w:rsid w:val="003A667A"/>
    <w:rsid w:val="003A68D8"/>
    <w:rsid w:val="003A74F5"/>
    <w:rsid w:val="003A7AFA"/>
    <w:rsid w:val="003A7CA6"/>
    <w:rsid w:val="003B40BE"/>
    <w:rsid w:val="003B4CB4"/>
    <w:rsid w:val="003B518B"/>
    <w:rsid w:val="003B58E3"/>
    <w:rsid w:val="003B7612"/>
    <w:rsid w:val="003B7D5A"/>
    <w:rsid w:val="003B7EE7"/>
    <w:rsid w:val="003C1629"/>
    <w:rsid w:val="003C18C0"/>
    <w:rsid w:val="003C6ADC"/>
    <w:rsid w:val="003C7467"/>
    <w:rsid w:val="003D1F17"/>
    <w:rsid w:val="003D244F"/>
    <w:rsid w:val="003D39EC"/>
    <w:rsid w:val="003D3E27"/>
    <w:rsid w:val="003D516E"/>
    <w:rsid w:val="003D53B3"/>
    <w:rsid w:val="003D5452"/>
    <w:rsid w:val="003D606F"/>
    <w:rsid w:val="003D65B7"/>
    <w:rsid w:val="003D6943"/>
    <w:rsid w:val="003D78F6"/>
    <w:rsid w:val="003E0D8B"/>
    <w:rsid w:val="003E0DD1"/>
    <w:rsid w:val="003E2A08"/>
    <w:rsid w:val="003E3912"/>
    <w:rsid w:val="003E3DD5"/>
    <w:rsid w:val="003E537A"/>
    <w:rsid w:val="003E55D6"/>
    <w:rsid w:val="003E6FCE"/>
    <w:rsid w:val="003E713E"/>
    <w:rsid w:val="003E7BF8"/>
    <w:rsid w:val="003E7ECF"/>
    <w:rsid w:val="003F0833"/>
    <w:rsid w:val="003F0B8C"/>
    <w:rsid w:val="003F1ECD"/>
    <w:rsid w:val="003F26FC"/>
    <w:rsid w:val="003F350F"/>
    <w:rsid w:val="003F44B7"/>
    <w:rsid w:val="003F75A0"/>
    <w:rsid w:val="00400F1C"/>
    <w:rsid w:val="0040306E"/>
    <w:rsid w:val="004030D8"/>
    <w:rsid w:val="00404B4E"/>
    <w:rsid w:val="00405BB4"/>
    <w:rsid w:val="00406AF7"/>
    <w:rsid w:val="004075F2"/>
    <w:rsid w:val="00410DE8"/>
    <w:rsid w:val="00411100"/>
    <w:rsid w:val="004111DA"/>
    <w:rsid w:val="00413D48"/>
    <w:rsid w:val="00414ACD"/>
    <w:rsid w:val="00417473"/>
    <w:rsid w:val="00420848"/>
    <w:rsid w:val="004213B0"/>
    <w:rsid w:val="00422948"/>
    <w:rsid w:val="00422A39"/>
    <w:rsid w:val="00422FEE"/>
    <w:rsid w:val="00424D25"/>
    <w:rsid w:val="00430CBE"/>
    <w:rsid w:val="004374FA"/>
    <w:rsid w:val="00440503"/>
    <w:rsid w:val="00441AC2"/>
    <w:rsid w:val="004425A0"/>
    <w:rsid w:val="00443B21"/>
    <w:rsid w:val="00444592"/>
    <w:rsid w:val="00445FEE"/>
    <w:rsid w:val="0044678E"/>
    <w:rsid w:val="004469C1"/>
    <w:rsid w:val="00447E60"/>
    <w:rsid w:val="0045061E"/>
    <w:rsid w:val="004510AC"/>
    <w:rsid w:val="004520E4"/>
    <w:rsid w:val="004528F1"/>
    <w:rsid w:val="00452BCD"/>
    <w:rsid w:val="00453A1E"/>
    <w:rsid w:val="00454EC1"/>
    <w:rsid w:val="00455ED7"/>
    <w:rsid w:val="00456A79"/>
    <w:rsid w:val="00456B63"/>
    <w:rsid w:val="00456C9B"/>
    <w:rsid w:val="0046002C"/>
    <w:rsid w:val="00460824"/>
    <w:rsid w:val="00460E7F"/>
    <w:rsid w:val="00461BD5"/>
    <w:rsid w:val="00462139"/>
    <w:rsid w:val="0046218D"/>
    <w:rsid w:val="00463FDE"/>
    <w:rsid w:val="0046457D"/>
    <w:rsid w:val="004655AB"/>
    <w:rsid w:val="004659CD"/>
    <w:rsid w:val="00467D2E"/>
    <w:rsid w:val="00470830"/>
    <w:rsid w:val="004726E9"/>
    <w:rsid w:val="00473B74"/>
    <w:rsid w:val="00476808"/>
    <w:rsid w:val="00476C91"/>
    <w:rsid w:val="00477598"/>
    <w:rsid w:val="00481516"/>
    <w:rsid w:val="0048181B"/>
    <w:rsid w:val="00483F0B"/>
    <w:rsid w:val="00484913"/>
    <w:rsid w:val="00486000"/>
    <w:rsid w:val="004867E2"/>
    <w:rsid w:val="00487527"/>
    <w:rsid w:val="00492A5E"/>
    <w:rsid w:val="004956ED"/>
    <w:rsid w:val="004A3C28"/>
    <w:rsid w:val="004A5672"/>
    <w:rsid w:val="004A5F55"/>
    <w:rsid w:val="004A7BAF"/>
    <w:rsid w:val="004B02EC"/>
    <w:rsid w:val="004B30C6"/>
    <w:rsid w:val="004B3BB8"/>
    <w:rsid w:val="004B5465"/>
    <w:rsid w:val="004B68F5"/>
    <w:rsid w:val="004B7506"/>
    <w:rsid w:val="004C0099"/>
    <w:rsid w:val="004C1744"/>
    <w:rsid w:val="004C2B81"/>
    <w:rsid w:val="004C3A8D"/>
    <w:rsid w:val="004C4242"/>
    <w:rsid w:val="004C6647"/>
    <w:rsid w:val="004C7FE0"/>
    <w:rsid w:val="004D07B2"/>
    <w:rsid w:val="004D106D"/>
    <w:rsid w:val="004D1C3B"/>
    <w:rsid w:val="004D2AC9"/>
    <w:rsid w:val="004D2E94"/>
    <w:rsid w:val="004D372F"/>
    <w:rsid w:val="004D403F"/>
    <w:rsid w:val="004D4757"/>
    <w:rsid w:val="004D5643"/>
    <w:rsid w:val="004D6440"/>
    <w:rsid w:val="004E022E"/>
    <w:rsid w:val="004E13BE"/>
    <w:rsid w:val="004E271E"/>
    <w:rsid w:val="004E2ED6"/>
    <w:rsid w:val="004E32F0"/>
    <w:rsid w:val="004E4EE9"/>
    <w:rsid w:val="004E60C0"/>
    <w:rsid w:val="004E7715"/>
    <w:rsid w:val="004F23A0"/>
    <w:rsid w:val="004F252B"/>
    <w:rsid w:val="004F391C"/>
    <w:rsid w:val="004F3C83"/>
    <w:rsid w:val="004F4285"/>
    <w:rsid w:val="004F5098"/>
    <w:rsid w:val="004F680B"/>
    <w:rsid w:val="004F6950"/>
    <w:rsid w:val="004F7FA2"/>
    <w:rsid w:val="00502AF4"/>
    <w:rsid w:val="00504688"/>
    <w:rsid w:val="00504887"/>
    <w:rsid w:val="00504898"/>
    <w:rsid w:val="00504EC6"/>
    <w:rsid w:val="005059B4"/>
    <w:rsid w:val="00505E80"/>
    <w:rsid w:val="005066D1"/>
    <w:rsid w:val="00507B8D"/>
    <w:rsid w:val="005105A1"/>
    <w:rsid w:val="00510633"/>
    <w:rsid w:val="00510DA8"/>
    <w:rsid w:val="00512A53"/>
    <w:rsid w:val="00513024"/>
    <w:rsid w:val="00514729"/>
    <w:rsid w:val="005150FC"/>
    <w:rsid w:val="00516022"/>
    <w:rsid w:val="005166D1"/>
    <w:rsid w:val="00521CEE"/>
    <w:rsid w:val="005231DD"/>
    <w:rsid w:val="00523F8B"/>
    <w:rsid w:val="00524D65"/>
    <w:rsid w:val="00526E66"/>
    <w:rsid w:val="00526EC4"/>
    <w:rsid w:val="00530233"/>
    <w:rsid w:val="00532172"/>
    <w:rsid w:val="0053227E"/>
    <w:rsid w:val="00532596"/>
    <w:rsid w:val="00532E76"/>
    <w:rsid w:val="00534880"/>
    <w:rsid w:val="0053789D"/>
    <w:rsid w:val="00537DB3"/>
    <w:rsid w:val="005415F2"/>
    <w:rsid w:val="005452CC"/>
    <w:rsid w:val="005466EF"/>
    <w:rsid w:val="005469CE"/>
    <w:rsid w:val="005477C5"/>
    <w:rsid w:val="00547CB3"/>
    <w:rsid w:val="00547E75"/>
    <w:rsid w:val="00547F31"/>
    <w:rsid w:val="005505A1"/>
    <w:rsid w:val="005506A2"/>
    <w:rsid w:val="005519BB"/>
    <w:rsid w:val="005530A7"/>
    <w:rsid w:val="0055367A"/>
    <w:rsid w:val="005546E2"/>
    <w:rsid w:val="00554727"/>
    <w:rsid w:val="005553AD"/>
    <w:rsid w:val="005557A8"/>
    <w:rsid w:val="0055588E"/>
    <w:rsid w:val="00556D2C"/>
    <w:rsid w:val="0055776D"/>
    <w:rsid w:val="005624A7"/>
    <w:rsid w:val="00562ED1"/>
    <w:rsid w:val="0056454C"/>
    <w:rsid w:val="005652E2"/>
    <w:rsid w:val="00573041"/>
    <w:rsid w:val="0057402A"/>
    <w:rsid w:val="005749A5"/>
    <w:rsid w:val="005763DA"/>
    <w:rsid w:val="0057732A"/>
    <w:rsid w:val="00582942"/>
    <w:rsid w:val="00584568"/>
    <w:rsid w:val="00584958"/>
    <w:rsid w:val="005849BE"/>
    <w:rsid w:val="00587797"/>
    <w:rsid w:val="005903FB"/>
    <w:rsid w:val="00593255"/>
    <w:rsid w:val="005936CB"/>
    <w:rsid w:val="00593B69"/>
    <w:rsid w:val="005943F9"/>
    <w:rsid w:val="0059530B"/>
    <w:rsid w:val="0059680A"/>
    <w:rsid w:val="005968D8"/>
    <w:rsid w:val="00597477"/>
    <w:rsid w:val="005A03A3"/>
    <w:rsid w:val="005A1C0A"/>
    <w:rsid w:val="005A1D89"/>
    <w:rsid w:val="005A463A"/>
    <w:rsid w:val="005A48FD"/>
    <w:rsid w:val="005A54E1"/>
    <w:rsid w:val="005A6060"/>
    <w:rsid w:val="005A6ADB"/>
    <w:rsid w:val="005A79E3"/>
    <w:rsid w:val="005B0ADD"/>
    <w:rsid w:val="005B36E0"/>
    <w:rsid w:val="005B4F97"/>
    <w:rsid w:val="005B6A16"/>
    <w:rsid w:val="005B75B4"/>
    <w:rsid w:val="005B77E3"/>
    <w:rsid w:val="005C164B"/>
    <w:rsid w:val="005C1A3A"/>
    <w:rsid w:val="005C22DD"/>
    <w:rsid w:val="005C3FE0"/>
    <w:rsid w:val="005C400C"/>
    <w:rsid w:val="005C4A83"/>
    <w:rsid w:val="005C7308"/>
    <w:rsid w:val="005C740C"/>
    <w:rsid w:val="005C79BA"/>
    <w:rsid w:val="005D0300"/>
    <w:rsid w:val="005D063A"/>
    <w:rsid w:val="005D1E27"/>
    <w:rsid w:val="005D3322"/>
    <w:rsid w:val="005D6886"/>
    <w:rsid w:val="005E17A4"/>
    <w:rsid w:val="005E25D4"/>
    <w:rsid w:val="005E4531"/>
    <w:rsid w:val="005E6236"/>
    <w:rsid w:val="005F0E31"/>
    <w:rsid w:val="005F23DB"/>
    <w:rsid w:val="005F2F08"/>
    <w:rsid w:val="005F3C85"/>
    <w:rsid w:val="005F3FB6"/>
    <w:rsid w:val="005F431D"/>
    <w:rsid w:val="005F4AF2"/>
    <w:rsid w:val="005F4FE7"/>
    <w:rsid w:val="005F55C9"/>
    <w:rsid w:val="00600777"/>
    <w:rsid w:val="0060167A"/>
    <w:rsid w:val="00602145"/>
    <w:rsid w:val="00604859"/>
    <w:rsid w:val="006048F4"/>
    <w:rsid w:val="00604F46"/>
    <w:rsid w:val="006064E1"/>
    <w:rsid w:val="0060660A"/>
    <w:rsid w:val="00610AAA"/>
    <w:rsid w:val="00611CB0"/>
    <w:rsid w:val="00612294"/>
    <w:rsid w:val="006123B1"/>
    <w:rsid w:val="00613D07"/>
    <w:rsid w:val="006144B7"/>
    <w:rsid w:val="0061509D"/>
    <w:rsid w:val="006154C6"/>
    <w:rsid w:val="00615DAA"/>
    <w:rsid w:val="00617313"/>
    <w:rsid w:val="00617A44"/>
    <w:rsid w:val="00621767"/>
    <w:rsid w:val="00625CD0"/>
    <w:rsid w:val="00625EB1"/>
    <w:rsid w:val="006271BD"/>
    <w:rsid w:val="00627E89"/>
    <w:rsid w:val="006316B8"/>
    <w:rsid w:val="00631889"/>
    <w:rsid w:val="00632896"/>
    <w:rsid w:val="006329A1"/>
    <w:rsid w:val="00633D2B"/>
    <w:rsid w:val="00634A3C"/>
    <w:rsid w:val="00635DE3"/>
    <w:rsid w:val="00636AFD"/>
    <w:rsid w:val="006375B8"/>
    <w:rsid w:val="00641D98"/>
    <w:rsid w:val="00645EC4"/>
    <w:rsid w:val="006469F6"/>
    <w:rsid w:val="00646E47"/>
    <w:rsid w:val="00647F57"/>
    <w:rsid w:val="00650EE8"/>
    <w:rsid w:val="00651441"/>
    <w:rsid w:val="00651DC0"/>
    <w:rsid w:val="006522A0"/>
    <w:rsid w:val="0065281C"/>
    <w:rsid w:val="006565D2"/>
    <w:rsid w:val="006567A6"/>
    <w:rsid w:val="006569DB"/>
    <w:rsid w:val="00656C96"/>
    <w:rsid w:val="00657247"/>
    <w:rsid w:val="006614C4"/>
    <w:rsid w:val="00661591"/>
    <w:rsid w:val="00662125"/>
    <w:rsid w:val="00662DF5"/>
    <w:rsid w:val="00663E9A"/>
    <w:rsid w:val="0066632F"/>
    <w:rsid w:val="006665E1"/>
    <w:rsid w:val="00667BAB"/>
    <w:rsid w:val="0067057E"/>
    <w:rsid w:val="006708D3"/>
    <w:rsid w:val="00670DD3"/>
    <w:rsid w:val="006711DA"/>
    <w:rsid w:val="0067329B"/>
    <w:rsid w:val="00674C14"/>
    <w:rsid w:val="006815C6"/>
    <w:rsid w:val="0068182A"/>
    <w:rsid w:val="00681B2D"/>
    <w:rsid w:val="00687998"/>
    <w:rsid w:val="0069047B"/>
    <w:rsid w:val="00690DCA"/>
    <w:rsid w:val="00691046"/>
    <w:rsid w:val="00692E7B"/>
    <w:rsid w:val="0069317D"/>
    <w:rsid w:val="006956A1"/>
    <w:rsid w:val="0069702B"/>
    <w:rsid w:val="006A1F7F"/>
    <w:rsid w:val="006A3362"/>
    <w:rsid w:val="006A3B6D"/>
    <w:rsid w:val="006A4DB5"/>
    <w:rsid w:val="006A52D6"/>
    <w:rsid w:val="006A670C"/>
    <w:rsid w:val="006A6FA2"/>
    <w:rsid w:val="006A73B3"/>
    <w:rsid w:val="006A78DD"/>
    <w:rsid w:val="006B021E"/>
    <w:rsid w:val="006B03AF"/>
    <w:rsid w:val="006B0D67"/>
    <w:rsid w:val="006B2292"/>
    <w:rsid w:val="006B329D"/>
    <w:rsid w:val="006B3A5E"/>
    <w:rsid w:val="006C114E"/>
    <w:rsid w:val="006C1EB0"/>
    <w:rsid w:val="006C2535"/>
    <w:rsid w:val="006C3A41"/>
    <w:rsid w:val="006C5413"/>
    <w:rsid w:val="006C65A1"/>
    <w:rsid w:val="006C6C62"/>
    <w:rsid w:val="006C7CA9"/>
    <w:rsid w:val="006C7EAD"/>
    <w:rsid w:val="006D3256"/>
    <w:rsid w:val="006D4B0D"/>
    <w:rsid w:val="006D5DC2"/>
    <w:rsid w:val="006D60B4"/>
    <w:rsid w:val="006D75E1"/>
    <w:rsid w:val="006D7F64"/>
    <w:rsid w:val="006E263E"/>
    <w:rsid w:val="006E3546"/>
    <w:rsid w:val="006E365A"/>
    <w:rsid w:val="006E38C3"/>
    <w:rsid w:val="006E4D97"/>
    <w:rsid w:val="006E7216"/>
    <w:rsid w:val="006F0F93"/>
    <w:rsid w:val="006F17B6"/>
    <w:rsid w:val="006F35FA"/>
    <w:rsid w:val="006F55A2"/>
    <w:rsid w:val="006F6DB3"/>
    <w:rsid w:val="00703AEF"/>
    <w:rsid w:val="007041D0"/>
    <w:rsid w:val="00704CCA"/>
    <w:rsid w:val="0070543F"/>
    <w:rsid w:val="00705BC0"/>
    <w:rsid w:val="00705C87"/>
    <w:rsid w:val="00707E10"/>
    <w:rsid w:val="00707EA6"/>
    <w:rsid w:val="00710978"/>
    <w:rsid w:val="00713044"/>
    <w:rsid w:val="00713F74"/>
    <w:rsid w:val="007146F0"/>
    <w:rsid w:val="00714C30"/>
    <w:rsid w:val="00715237"/>
    <w:rsid w:val="00715F39"/>
    <w:rsid w:val="00716C72"/>
    <w:rsid w:val="00716F76"/>
    <w:rsid w:val="00720573"/>
    <w:rsid w:val="0072120E"/>
    <w:rsid w:val="007219E5"/>
    <w:rsid w:val="00721ABE"/>
    <w:rsid w:val="00722293"/>
    <w:rsid w:val="00722F4B"/>
    <w:rsid w:val="007230FA"/>
    <w:rsid w:val="00724101"/>
    <w:rsid w:val="007250F0"/>
    <w:rsid w:val="007254A5"/>
    <w:rsid w:val="00725748"/>
    <w:rsid w:val="00730D14"/>
    <w:rsid w:val="00734374"/>
    <w:rsid w:val="00734FB5"/>
    <w:rsid w:val="00735496"/>
    <w:rsid w:val="00736D0D"/>
    <w:rsid w:val="0073720D"/>
    <w:rsid w:val="007402E0"/>
    <w:rsid w:val="007418AE"/>
    <w:rsid w:val="00742AB9"/>
    <w:rsid w:val="00743337"/>
    <w:rsid w:val="00745016"/>
    <w:rsid w:val="00746658"/>
    <w:rsid w:val="00750A91"/>
    <w:rsid w:val="00751CF9"/>
    <w:rsid w:val="0075240B"/>
    <w:rsid w:val="0075368B"/>
    <w:rsid w:val="0075398E"/>
    <w:rsid w:val="00754176"/>
    <w:rsid w:val="00754666"/>
    <w:rsid w:val="00754FBF"/>
    <w:rsid w:val="00755248"/>
    <w:rsid w:val="00756754"/>
    <w:rsid w:val="00757005"/>
    <w:rsid w:val="0076016D"/>
    <w:rsid w:val="007606CE"/>
    <w:rsid w:val="00760C95"/>
    <w:rsid w:val="00763BB2"/>
    <w:rsid w:val="0077029E"/>
    <w:rsid w:val="0077048E"/>
    <w:rsid w:val="00770864"/>
    <w:rsid w:val="007724AB"/>
    <w:rsid w:val="00772734"/>
    <w:rsid w:val="00774B22"/>
    <w:rsid w:val="00775344"/>
    <w:rsid w:val="00775414"/>
    <w:rsid w:val="00775D8A"/>
    <w:rsid w:val="0077737C"/>
    <w:rsid w:val="007777DF"/>
    <w:rsid w:val="00777B21"/>
    <w:rsid w:val="00781BE3"/>
    <w:rsid w:val="00781CED"/>
    <w:rsid w:val="007831C7"/>
    <w:rsid w:val="00783559"/>
    <w:rsid w:val="00783B2B"/>
    <w:rsid w:val="0078554C"/>
    <w:rsid w:val="00785BEA"/>
    <w:rsid w:val="00785F18"/>
    <w:rsid w:val="00786645"/>
    <w:rsid w:val="00786698"/>
    <w:rsid w:val="0079029D"/>
    <w:rsid w:val="00792AB2"/>
    <w:rsid w:val="00794FE6"/>
    <w:rsid w:val="007A3BEE"/>
    <w:rsid w:val="007A4105"/>
    <w:rsid w:val="007A474C"/>
    <w:rsid w:val="007B0280"/>
    <w:rsid w:val="007B163C"/>
    <w:rsid w:val="007B2BC2"/>
    <w:rsid w:val="007B54BC"/>
    <w:rsid w:val="007B6E9D"/>
    <w:rsid w:val="007C0CE8"/>
    <w:rsid w:val="007C406E"/>
    <w:rsid w:val="007C66A9"/>
    <w:rsid w:val="007C7F09"/>
    <w:rsid w:val="007D08AB"/>
    <w:rsid w:val="007D0AC3"/>
    <w:rsid w:val="007D25B4"/>
    <w:rsid w:val="007D2C22"/>
    <w:rsid w:val="007D47EA"/>
    <w:rsid w:val="007D5658"/>
    <w:rsid w:val="007D6565"/>
    <w:rsid w:val="007D7914"/>
    <w:rsid w:val="007E1149"/>
    <w:rsid w:val="007E2C0D"/>
    <w:rsid w:val="007E33F7"/>
    <w:rsid w:val="007E435C"/>
    <w:rsid w:val="007E6BE6"/>
    <w:rsid w:val="007E7BB9"/>
    <w:rsid w:val="007E7F43"/>
    <w:rsid w:val="007F100C"/>
    <w:rsid w:val="007F125E"/>
    <w:rsid w:val="007F1982"/>
    <w:rsid w:val="007F428E"/>
    <w:rsid w:val="007F462B"/>
    <w:rsid w:val="007F512A"/>
    <w:rsid w:val="007F74ED"/>
    <w:rsid w:val="007F78A0"/>
    <w:rsid w:val="0080096E"/>
    <w:rsid w:val="00803900"/>
    <w:rsid w:val="008050E6"/>
    <w:rsid w:val="00806B95"/>
    <w:rsid w:val="008072C6"/>
    <w:rsid w:val="00807805"/>
    <w:rsid w:val="00810CFA"/>
    <w:rsid w:val="00811392"/>
    <w:rsid w:val="00812028"/>
    <w:rsid w:val="00814D03"/>
    <w:rsid w:val="0081537D"/>
    <w:rsid w:val="00816074"/>
    <w:rsid w:val="00820F4D"/>
    <w:rsid w:val="0082329D"/>
    <w:rsid w:val="00824629"/>
    <w:rsid w:val="00824C06"/>
    <w:rsid w:val="008264D8"/>
    <w:rsid w:val="0083178B"/>
    <w:rsid w:val="00833695"/>
    <w:rsid w:val="00834220"/>
    <w:rsid w:val="00834F99"/>
    <w:rsid w:val="0083535F"/>
    <w:rsid w:val="008364EF"/>
    <w:rsid w:val="0083788B"/>
    <w:rsid w:val="00837C66"/>
    <w:rsid w:val="008407B5"/>
    <w:rsid w:val="008409AE"/>
    <w:rsid w:val="00842A21"/>
    <w:rsid w:val="00842CD8"/>
    <w:rsid w:val="008435CC"/>
    <w:rsid w:val="0084645F"/>
    <w:rsid w:val="008517DE"/>
    <w:rsid w:val="00851BC3"/>
    <w:rsid w:val="008520D8"/>
    <w:rsid w:val="008525B2"/>
    <w:rsid w:val="008530B2"/>
    <w:rsid w:val="008553C7"/>
    <w:rsid w:val="00857770"/>
    <w:rsid w:val="00857FEB"/>
    <w:rsid w:val="00860B95"/>
    <w:rsid w:val="008616E0"/>
    <w:rsid w:val="00862050"/>
    <w:rsid w:val="008624AD"/>
    <w:rsid w:val="008624F0"/>
    <w:rsid w:val="008646B0"/>
    <w:rsid w:val="00864874"/>
    <w:rsid w:val="00864B45"/>
    <w:rsid w:val="008654DE"/>
    <w:rsid w:val="008666D2"/>
    <w:rsid w:val="00871B05"/>
    <w:rsid w:val="008720EB"/>
    <w:rsid w:val="008735BA"/>
    <w:rsid w:val="00873E5C"/>
    <w:rsid w:val="008753FC"/>
    <w:rsid w:val="008777AA"/>
    <w:rsid w:val="008802A6"/>
    <w:rsid w:val="00880A18"/>
    <w:rsid w:val="008812FB"/>
    <w:rsid w:val="00882814"/>
    <w:rsid w:val="008855E6"/>
    <w:rsid w:val="00885F9E"/>
    <w:rsid w:val="00886E97"/>
    <w:rsid w:val="008871AE"/>
    <w:rsid w:val="00891692"/>
    <w:rsid w:val="00892002"/>
    <w:rsid w:val="008934AE"/>
    <w:rsid w:val="008934E6"/>
    <w:rsid w:val="008A46A9"/>
    <w:rsid w:val="008A5A3F"/>
    <w:rsid w:val="008A646F"/>
    <w:rsid w:val="008A702B"/>
    <w:rsid w:val="008A7174"/>
    <w:rsid w:val="008B10B0"/>
    <w:rsid w:val="008B1BE5"/>
    <w:rsid w:val="008B3521"/>
    <w:rsid w:val="008B378C"/>
    <w:rsid w:val="008B3929"/>
    <w:rsid w:val="008B3C2F"/>
    <w:rsid w:val="008B4118"/>
    <w:rsid w:val="008B4208"/>
    <w:rsid w:val="008B45D6"/>
    <w:rsid w:val="008B4CB3"/>
    <w:rsid w:val="008B54B2"/>
    <w:rsid w:val="008B720C"/>
    <w:rsid w:val="008B731A"/>
    <w:rsid w:val="008C2425"/>
    <w:rsid w:val="008C2444"/>
    <w:rsid w:val="008C3AF9"/>
    <w:rsid w:val="008C3F57"/>
    <w:rsid w:val="008C46FD"/>
    <w:rsid w:val="008C5B1C"/>
    <w:rsid w:val="008C67AF"/>
    <w:rsid w:val="008C78FD"/>
    <w:rsid w:val="008D0EBE"/>
    <w:rsid w:val="008D2355"/>
    <w:rsid w:val="008D2FA9"/>
    <w:rsid w:val="008D3CEA"/>
    <w:rsid w:val="008D5B01"/>
    <w:rsid w:val="008E22BC"/>
    <w:rsid w:val="008E2334"/>
    <w:rsid w:val="008E29B4"/>
    <w:rsid w:val="008E35E2"/>
    <w:rsid w:val="008E5F59"/>
    <w:rsid w:val="008E78DD"/>
    <w:rsid w:val="008E7AC3"/>
    <w:rsid w:val="008F0C84"/>
    <w:rsid w:val="008F1B70"/>
    <w:rsid w:val="008F2143"/>
    <w:rsid w:val="008F30B2"/>
    <w:rsid w:val="008F4A8D"/>
    <w:rsid w:val="00900C34"/>
    <w:rsid w:val="00901121"/>
    <w:rsid w:val="00901DEF"/>
    <w:rsid w:val="00902FF2"/>
    <w:rsid w:val="009034D2"/>
    <w:rsid w:val="00903B67"/>
    <w:rsid w:val="00905B6D"/>
    <w:rsid w:val="0090647C"/>
    <w:rsid w:val="0090651A"/>
    <w:rsid w:val="00906D06"/>
    <w:rsid w:val="0091000A"/>
    <w:rsid w:val="00910642"/>
    <w:rsid w:val="009160BB"/>
    <w:rsid w:val="009166AD"/>
    <w:rsid w:val="00917821"/>
    <w:rsid w:val="00917BAC"/>
    <w:rsid w:val="00921A22"/>
    <w:rsid w:val="00925D73"/>
    <w:rsid w:val="00927293"/>
    <w:rsid w:val="009311C8"/>
    <w:rsid w:val="00933376"/>
    <w:rsid w:val="009336FC"/>
    <w:rsid w:val="00937CE6"/>
    <w:rsid w:val="00940A5E"/>
    <w:rsid w:val="00940C5F"/>
    <w:rsid w:val="00942355"/>
    <w:rsid w:val="00942AE9"/>
    <w:rsid w:val="00943F25"/>
    <w:rsid w:val="00944F01"/>
    <w:rsid w:val="00945691"/>
    <w:rsid w:val="00946D29"/>
    <w:rsid w:val="00946D38"/>
    <w:rsid w:val="0095050D"/>
    <w:rsid w:val="009511BB"/>
    <w:rsid w:val="009513C2"/>
    <w:rsid w:val="0095259F"/>
    <w:rsid w:val="009534EF"/>
    <w:rsid w:val="0095352B"/>
    <w:rsid w:val="00955A7F"/>
    <w:rsid w:val="0095748C"/>
    <w:rsid w:val="0096077C"/>
    <w:rsid w:val="0096143B"/>
    <w:rsid w:val="00961C28"/>
    <w:rsid w:val="00961FA7"/>
    <w:rsid w:val="009627A5"/>
    <w:rsid w:val="00962C56"/>
    <w:rsid w:val="00964BBF"/>
    <w:rsid w:val="00964F30"/>
    <w:rsid w:val="00965FD5"/>
    <w:rsid w:val="009668DE"/>
    <w:rsid w:val="00967346"/>
    <w:rsid w:val="009711D9"/>
    <w:rsid w:val="009718F9"/>
    <w:rsid w:val="00975112"/>
    <w:rsid w:val="00975202"/>
    <w:rsid w:val="009753D7"/>
    <w:rsid w:val="00977002"/>
    <w:rsid w:val="009774C4"/>
    <w:rsid w:val="009811DF"/>
    <w:rsid w:val="00982B90"/>
    <w:rsid w:val="00982E82"/>
    <w:rsid w:val="00983333"/>
    <w:rsid w:val="00983A7C"/>
    <w:rsid w:val="00984D7B"/>
    <w:rsid w:val="00991B5F"/>
    <w:rsid w:val="00991C2E"/>
    <w:rsid w:val="00997999"/>
    <w:rsid w:val="009A0FF6"/>
    <w:rsid w:val="009A15FA"/>
    <w:rsid w:val="009A342B"/>
    <w:rsid w:val="009A3B71"/>
    <w:rsid w:val="009A3CA0"/>
    <w:rsid w:val="009A513F"/>
    <w:rsid w:val="009A542C"/>
    <w:rsid w:val="009A61BC"/>
    <w:rsid w:val="009A6527"/>
    <w:rsid w:val="009A676D"/>
    <w:rsid w:val="009A727A"/>
    <w:rsid w:val="009B1466"/>
    <w:rsid w:val="009B23D3"/>
    <w:rsid w:val="009B24B7"/>
    <w:rsid w:val="009B41E7"/>
    <w:rsid w:val="009B4239"/>
    <w:rsid w:val="009B424D"/>
    <w:rsid w:val="009B57D5"/>
    <w:rsid w:val="009B57FB"/>
    <w:rsid w:val="009B7709"/>
    <w:rsid w:val="009C1AC6"/>
    <w:rsid w:val="009C1C75"/>
    <w:rsid w:val="009C3661"/>
    <w:rsid w:val="009C37AE"/>
    <w:rsid w:val="009C42BC"/>
    <w:rsid w:val="009C4AAC"/>
    <w:rsid w:val="009C4F04"/>
    <w:rsid w:val="009C692B"/>
    <w:rsid w:val="009D1D35"/>
    <w:rsid w:val="009D277F"/>
    <w:rsid w:val="009D7120"/>
    <w:rsid w:val="009D7DFA"/>
    <w:rsid w:val="009E042D"/>
    <w:rsid w:val="009E1B8B"/>
    <w:rsid w:val="009E37E6"/>
    <w:rsid w:val="009E584D"/>
    <w:rsid w:val="009E6427"/>
    <w:rsid w:val="009E6741"/>
    <w:rsid w:val="009E71C1"/>
    <w:rsid w:val="009F3851"/>
    <w:rsid w:val="00A0090D"/>
    <w:rsid w:val="00A02980"/>
    <w:rsid w:val="00A04081"/>
    <w:rsid w:val="00A043B4"/>
    <w:rsid w:val="00A04DC0"/>
    <w:rsid w:val="00A05185"/>
    <w:rsid w:val="00A06827"/>
    <w:rsid w:val="00A07737"/>
    <w:rsid w:val="00A07D00"/>
    <w:rsid w:val="00A10614"/>
    <w:rsid w:val="00A10E98"/>
    <w:rsid w:val="00A11768"/>
    <w:rsid w:val="00A12458"/>
    <w:rsid w:val="00A1262F"/>
    <w:rsid w:val="00A13499"/>
    <w:rsid w:val="00A13B36"/>
    <w:rsid w:val="00A140D0"/>
    <w:rsid w:val="00A149C1"/>
    <w:rsid w:val="00A14A93"/>
    <w:rsid w:val="00A14CA2"/>
    <w:rsid w:val="00A167EA"/>
    <w:rsid w:val="00A2172A"/>
    <w:rsid w:val="00A21A93"/>
    <w:rsid w:val="00A21B3B"/>
    <w:rsid w:val="00A2455B"/>
    <w:rsid w:val="00A245B7"/>
    <w:rsid w:val="00A25B4A"/>
    <w:rsid w:val="00A27328"/>
    <w:rsid w:val="00A277F9"/>
    <w:rsid w:val="00A30E68"/>
    <w:rsid w:val="00A31885"/>
    <w:rsid w:val="00A33763"/>
    <w:rsid w:val="00A34AA0"/>
    <w:rsid w:val="00A35B30"/>
    <w:rsid w:val="00A35BEC"/>
    <w:rsid w:val="00A373C4"/>
    <w:rsid w:val="00A37B8E"/>
    <w:rsid w:val="00A41EFC"/>
    <w:rsid w:val="00A42829"/>
    <w:rsid w:val="00A4371E"/>
    <w:rsid w:val="00A47733"/>
    <w:rsid w:val="00A511CD"/>
    <w:rsid w:val="00A53BBE"/>
    <w:rsid w:val="00A5422B"/>
    <w:rsid w:val="00A551E6"/>
    <w:rsid w:val="00A5572F"/>
    <w:rsid w:val="00A56946"/>
    <w:rsid w:val="00A578D8"/>
    <w:rsid w:val="00A61759"/>
    <w:rsid w:val="00A62BB8"/>
    <w:rsid w:val="00A63485"/>
    <w:rsid w:val="00A63889"/>
    <w:rsid w:val="00A6421B"/>
    <w:rsid w:val="00A64A23"/>
    <w:rsid w:val="00A65FF9"/>
    <w:rsid w:val="00A70E93"/>
    <w:rsid w:val="00A71A15"/>
    <w:rsid w:val="00A74DEC"/>
    <w:rsid w:val="00A76D10"/>
    <w:rsid w:val="00A76DC7"/>
    <w:rsid w:val="00A77D7A"/>
    <w:rsid w:val="00A819A4"/>
    <w:rsid w:val="00A84B60"/>
    <w:rsid w:val="00A84E68"/>
    <w:rsid w:val="00A84F62"/>
    <w:rsid w:val="00A8630D"/>
    <w:rsid w:val="00A871C2"/>
    <w:rsid w:val="00A87B6C"/>
    <w:rsid w:val="00A905AD"/>
    <w:rsid w:val="00A908F9"/>
    <w:rsid w:val="00A91B1B"/>
    <w:rsid w:val="00A9351D"/>
    <w:rsid w:val="00A94A09"/>
    <w:rsid w:val="00A967EE"/>
    <w:rsid w:val="00AA0E58"/>
    <w:rsid w:val="00AA28BD"/>
    <w:rsid w:val="00AA4277"/>
    <w:rsid w:val="00AA4C2B"/>
    <w:rsid w:val="00AA4D58"/>
    <w:rsid w:val="00AA5B94"/>
    <w:rsid w:val="00AA6265"/>
    <w:rsid w:val="00AA69E3"/>
    <w:rsid w:val="00AB4880"/>
    <w:rsid w:val="00AB5963"/>
    <w:rsid w:val="00AB762B"/>
    <w:rsid w:val="00AB78E0"/>
    <w:rsid w:val="00AC0810"/>
    <w:rsid w:val="00AC0B3D"/>
    <w:rsid w:val="00AC1ED1"/>
    <w:rsid w:val="00AC211D"/>
    <w:rsid w:val="00AC3701"/>
    <w:rsid w:val="00AC3FE3"/>
    <w:rsid w:val="00AC49D8"/>
    <w:rsid w:val="00AC523C"/>
    <w:rsid w:val="00AC567F"/>
    <w:rsid w:val="00AC6930"/>
    <w:rsid w:val="00AD0CCB"/>
    <w:rsid w:val="00AD0D21"/>
    <w:rsid w:val="00AD24CE"/>
    <w:rsid w:val="00AD279E"/>
    <w:rsid w:val="00AD2B89"/>
    <w:rsid w:val="00AD3A3C"/>
    <w:rsid w:val="00AD5C2E"/>
    <w:rsid w:val="00AD6F98"/>
    <w:rsid w:val="00AE0BAA"/>
    <w:rsid w:val="00AE11B7"/>
    <w:rsid w:val="00AE1D85"/>
    <w:rsid w:val="00AE4E07"/>
    <w:rsid w:val="00AE5230"/>
    <w:rsid w:val="00AE5901"/>
    <w:rsid w:val="00AE77B6"/>
    <w:rsid w:val="00AF0612"/>
    <w:rsid w:val="00AF0888"/>
    <w:rsid w:val="00AF2170"/>
    <w:rsid w:val="00AF2F4F"/>
    <w:rsid w:val="00AF36B0"/>
    <w:rsid w:val="00AF612D"/>
    <w:rsid w:val="00AF6CAF"/>
    <w:rsid w:val="00AF7691"/>
    <w:rsid w:val="00AF7F47"/>
    <w:rsid w:val="00AF7F5D"/>
    <w:rsid w:val="00B00A55"/>
    <w:rsid w:val="00B00F22"/>
    <w:rsid w:val="00B030F7"/>
    <w:rsid w:val="00B040D2"/>
    <w:rsid w:val="00B04C4B"/>
    <w:rsid w:val="00B06444"/>
    <w:rsid w:val="00B0686B"/>
    <w:rsid w:val="00B06C4D"/>
    <w:rsid w:val="00B06CE6"/>
    <w:rsid w:val="00B06D4B"/>
    <w:rsid w:val="00B1151F"/>
    <w:rsid w:val="00B142FC"/>
    <w:rsid w:val="00B14F24"/>
    <w:rsid w:val="00B201ED"/>
    <w:rsid w:val="00B214B2"/>
    <w:rsid w:val="00B24584"/>
    <w:rsid w:val="00B24C4A"/>
    <w:rsid w:val="00B25CD9"/>
    <w:rsid w:val="00B26CCF"/>
    <w:rsid w:val="00B27F66"/>
    <w:rsid w:val="00B30004"/>
    <w:rsid w:val="00B30353"/>
    <w:rsid w:val="00B316B9"/>
    <w:rsid w:val="00B322C1"/>
    <w:rsid w:val="00B34C1E"/>
    <w:rsid w:val="00B35331"/>
    <w:rsid w:val="00B36546"/>
    <w:rsid w:val="00B424BA"/>
    <w:rsid w:val="00B464BB"/>
    <w:rsid w:val="00B4789A"/>
    <w:rsid w:val="00B51544"/>
    <w:rsid w:val="00B52E2F"/>
    <w:rsid w:val="00B531DD"/>
    <w:rsid w:val="00B54564"/>
    <w:rsid w:val="00B55390"/>
    <w:rsid w:val="00B56A07"/>
    <w:rsid w:val="00B56D45"/>
    <w:rsid w:val="00B572E8"/>
    <w:rsid w:val="00B603B4"/>
    <w:rsid w:val="00B60860"/>
    <w:rsid w:val="00B63309"/>
    <w:rsid w:val="00B645D2"/>
    <w:rsid w:val="00B67E6B"/>
    <w:rsid w:val="00B717B0"/>
    <w:rsid w:val="00B71DC2"/>
    <w:rsid w:val="00B73546"/>
    <w:rsid w:val="00B74DD5"/>
    <w:rsid w:val="00B74F88"/>
    <w:rsid w:val="00B76565"/>
    <w:rsid w:val="00B7689A"/>
    <w:rsid w:val="00B76A6E"/>
    <w:rsid w:val="00B84A83"/>
    <w:rsid w:val="00B872A4"/>
    <w:rsid w:val="00B879C7"/>
    <w:rsid w:val="00B901A4"/>
    <w:rsid w:val="00B90D3F"/>
    <w:rsid w:val="00B90DA2"/>
    <w:rsid w:val="00B93893"/>
    <w:rsid w:val="00B95E58"/>
    <w:rsid w:val="00B95FC2"/>
    <w:rsid w:val="00B979F2"/>
    <w:rsid w:val="00B97DCD"/>
    <w:rsid w:val="00BA06AC"/>
    <w:rsid w:val="00BA1B1C"/>
    <w:rsid w:val="00BA2CB0"/>
    <w:rsid w:val="00BA3472"/>
    <w:rsid w:val="00BA537F"/>
    <w:rsid w:val="00BA5E9E"/>
    <w:rsid w:val="00BA770E"/>
    <w:rsid w:val="00BA77F1"/>
    <w:rsid w:val="00BA7A60"/>
    <w:rsid w:val="00BA7EDA"/>
    <w:rsid w:val="00BB11E1"/>
    <w:rsid w:val="00BB1594"/>
    <w:rsid w:val="00BB1670"/>
    <w:rsid w:val="00BB2BC0"/>
    <w:rsid w:val="00BB3970"/>
    <w:rsid w:val="00BB6DA1"/>
    <w:rsid w:val="00BB7ABD"/>
    <w:rsid w:val="00BB7EB7"/>
    <w:rsid w:val="00BC02E9"/>
    <w:rsid w:val="00BC0A80"/>
    <w:rsid w:val="00BC12A3"/>
    <w:rsid w:val="00BC3B53"/>
    <w:rsid w:val="00BC4A98"/>
    <w:rsid w:val="00BC4D64"/>
    <w:rsid w:val="00BC56F5"/>
    <w:rsid w:val="00BC7D8C"/>
    <w:rsid w:val="00BD0F12"/>
    <w:rsid w:val="00BD1454"/>
    <w:rsid w:val="00BD4929"/>
    <w:rsid w:val="00BD5DFC"/>
    <w:rsid w:val="00BD6617"/>
    <w:rsid w:val="00BD6ED7"/>
    <w:rsid w:val="00BD7AE6"/>
    <w:rsid w:val="00BE0836"/>
    <w:rsid w:val="00BE0B32"/>
    <w:rsid w:val="00BE2497"/>
    <w:rsid w:val="00BE2FBA"/>
    <w:rsid w:val="00BE458E"/>
    <w:rsid w:val="00BE5564"/>
    <w:rsid w:val="00BE6324"/>
    <w:rsid w:val="00BE77BB"/>
    <w:rsid w:val="00BF1365"/>
    <w:rsid w:val="00BF2B59"/>
    <w:rsid w:val="00BF2C4F"/>
    <w:rsid w:val="00BF37A3"/>
    <w:rsid w:val="00BF3D01"/>
    <w:rsid w:val="00BF5B51"/>
    <w:rsid w:val="00C00B67"/>
    <w:rsid w:val="00C00F4E"/>
    <w:rsid w:val="00C01061"/>
    <w:rsid w:val="00C010DC"/>
    <w:rsid w:val="00C02D23"/>
    <w:rsid w:val="00C05318"/>
    <w:rsid w:val="00C10869"/>
    <w:rsid w:val="00C117E2"/>
    <w:rsid w:val="00C12C00"/>
    <w:rsid w:val="00C12E90"/>
    <w:rsid w:val="00C12EB9"/>
    <w:rsid w:val="00C1320B"/>
    <w:rsid w:val="00C14CC1"/>
    <w:rsid w:val="00C206F1"/>
    <w:rsid w:val="00C26035"/>
    <w:rsid w:val="00C26079"/>
    <w:rsid w:val="00C27206"/>
    <w:rsid w:val="00C276F1"/>
    <w:rsid w:val="00C30AC1"/>
    <w:rsid w:val="00C3189F"/>
    <w:rsid w:val="00C3256E"/>
    <w:rsid w:val="00C33340"/>
    <w:rsid w:val="00C3445F"/>
    <w:rsid w:val="00C35A91"/>
    <w:rsid w:val="00C3632C"/>
    <w:rsid w:val="00C371A6"/>
    <w:rsid w:val="00C40C60"/>
    <w:rsid w:val="00C42F03"/>
    <w:rsid w:val="00C43022"/>
    <w:rsid w:val="00C43562"/>
    <w:rsid w:val="00C447C0"/>
    <w:rsid w:val="00C458C9"/>
    <w:rsid w:val="00C46B84"/>
    <w:rsid w:val="00C50100"/>
    <w:rsid w:val="00C50ECF"/>
    <w:rsid w:val="00C52281"/>
    <w:rsid w:val="00C52E42"/>
    <w:rsid w:val="00C53426"/>
    <w:rsid w:val="00C54FEA"/>
    <w:rsid w:val="00C55E5A"/>
    <w:rsid w:val="00C56BE8"/>
    <w:rsid w:val="00C60E49"/>
    <w:rsid w:val="00C62A0B"/>
    <w:rsid w:val="00C63108"/>
    <w:rsid w:val="00C638E2"/>
    <w:rsid w:val="00C6537C"/>
    <w:rsid w:val="00C666E4"/>
    <w:rsid w:val="00C669C9"/>
    <w:rsid w:val="00C812F7"/>
    <w:rsid w:val="00C833B6"/>
    <w:rsid w:val="00C85838"/>
    <w:rsid w:val="00C876B7"/>
    <w:rsid w:val="00C90846"/>
    <w:rsid w:val="00C91B2C"/>
    <w:rsid w:val="00C92CA5"/>
    <w:rsid w:val="00C93B39"/>
    <w:rsid w:val="00C95961"/>
    <w:rsid w:val="00CA0A69"/>
    <w:rsid w:val="00CA0E76"/>
    <w:rsid w:val="00CA40F8"/>
    <w:rsid w:val="00CA473C"/>
    <w:rsid w:val="00CA47D3"/>
    <w:rsid w:val="00CA52E3"/>
    <w:rsid w:val="00CA53DE"/>
    <w:rsid w:val="00CA58C3"/>
    <w:rsid w:val="00CA5BC9"/>
    <w:rsid w:val="00CA6A55"/>
    <w:rsid w:val="00CA6B6B"/>
    <w:rsid w:val="00CA6DEF"/>
    <w:rsid w:val="00CB156F"/>
    <w:rsid w:val="00CB1BBD"/>
    <w:rsid w:val="00CB3777"/>
    <w:rsid w:val="00CB3BF0"/>
    <w:rsid w:val="00CB3E1D"/>
    <w:rsid w:val="00CB5A73"/>
    <w:rsid w:val="00CC0BB4"/>
    <w:rsid w:val="00CC12DF"/>
    <w:rsid w:val="00CC2F5F"/>
    <w:rsid w:val="00CC4D8D"/>
    <w:rsid w:val="00CC63E0"/>
    <w:rsid w:val="00CC6FDD"/>
    <w:rsid w:val="00CD1689"/>
    <w:rsid w:val="00CD2492"/>
    <w:rsid w:val="00CD47BA"/>
    <w:rsid w:val="00CD5427"/>
    <w:rsid w:val="00CD604A"/>
    <w:rsid w:val="00CD6791"/>
    <w:rsid w:val="00CD78DD"/>
    <w:rsid w:val="00CD7B6F"/>
    <w:rsid w:val="00CE0425"/>
    <w:rsid w:val="00CE15C4"/>
    <w:rsid w:val="00CE2AE8"/>
    <w:rsid w:val="00CE2E6A"/>
    <w:rsid w:val="00CE2EA9"/>
    <w:rsid w:val="00CE41DA"/>
    <w:rsid w:val="00CE6D64"/>
    <w:rsid w:val="00CE707F"/>
    <w:rsid w:val="00CE74D9"/>
    <w:rsid w:val="00CF053F"/>
    <w:rsid w:val="00CF0A55"/>
    <w:rsid w:val="00CF301C"/>
    <w:rsid w:val="00CF3D6A"/>
    <w:rsid w:val="00CF5220"/>
    <w:rsid w:val="00CF62BD"/>
    <w:rsid w:val="00CF7C8B"/>
    <w:rsid w:val="00D00180"/>
    <w:rsid w:val="00D00793"/>
    <w:rsid w:val="00D01D15"/>
    <w:rsid w:val="00D01F38"/>
    <w:rsid w:val="00D04083"/>
    <w:rsid w:val="00D06E2D"/>
    <w:rsid w:val="00D078E1"/>
    <w:rsid w:val="00D102D2"/>
    <w:rsid w:val="00D10AEF"/>
    <w:rsid w:val="00D114F5"/>
    <w:rsid w:val="00D11B6F"/>
    <w:rsid w:val="00D12A7F"/>
    <w:rsid w:val="00D131D6"/>
    <w:rsid w:val="00D135BA"/>
    <w:rsid w:val="00D136C3"/>
    <w:rsid w:val="00D15D58"/>
    <w:rsid w:val="00D17A1D"/>
    <w:rsid w:val="00D20C77"/>
    <w:rsid w:val="00D218AC"/>
    <w:rsid w:val="00D221A6"/>
    <w:rsid w:val="00D232A2"/>
    <w:rsid w:val="00D23522"/>
    <w:rsid w:val="00D246B6"/>
    <w:rsid w:val="00D25C90"/>
    <w:rsid w:val="00D25F5C"/>
    <w:rsid w:val="00D26196"/>
    <w:rsid w:val="00D279AE"/>
    <w:rsid w:val="00D30900"/>
    <w:rsid w:val="00D30F08"/>
    <w:rsid w:val="00D311EA"/>
    <w:rsid w:val="00D31C61"/>
    <w:rsid w:val="00D323BE"/>
    <w:rsid w:val="00D32F98"/>
    <w:rsid w:val="00D358D8"/>
    <w:rsid w:val="00D365C5"/>
    <w:rsid w:val="00D36C95"/>
    <w:rsid w:val="00D405AB"/>
    <w:rsid w:val="00D4122E"/>
    <w:rsid w:val="00D41280"/>
    <w:rsid w:val="00D43528"/>
    <w:rsid w:val="00D45EB0"/>
    <w:rsid w:val="00D46125"/>
    <w:rsid w:val="00D52F46"/>
    <w:rsid w:val="00D5423B"/>
    <w:rsid w:val="00D54F4E"/>
    <w:rsid w:val="00D55865"/>
    <w:rsid w:val="00D56274"/>
    <w:rsid w:val="00D60BA4"/>
    <w:rsid w:val="00D61E03"/>
    <w:rsid w:val="00D62F23"/>
    <w:rsid w:val="00D6357E"/>
    <w:rsid w:val="00D64B1F"/>
    <w:rsid w:val="00D6528F"/>
    <w:rsid w:val="00D661C6"/>
    <w:rsid w:val="00D6704B"/>
    <w:rsid w:val="00D67A7A"/>
    <w:rsid w:val="00D67F8F"/>
    <w:rsid w:val="00D711A5"/>
    <w:rsid w:val="00D713FF"/>
    <w:rsid w:val="00D72421"/>
    <w:rsid w:val="00D734E5"/>
    <w:rsid w:val="00D73F97"/>
    <w:rsid w:val="00D745A7"/>
    <w:rsid w:val="00D74D0A"/>
    <w:rsid w:val="00D767FA"/>
    <w:rsid w:val="00D80CCE"/>
    <w:rsid w:val="00D81275"/>
    <w:rsid w:val="00D81D90"/>
    <w:rsid w:val="00D82202"/>
    <w:rsid w:val="00D83104"/>
    <w:rsid w:val="00D83137"/>
    <w:rsid w:val="00D84029"/>
    <w:rsid w:val="00D85213"/>
    <w:rsid w:val="00D85A93"/>
    <w:rsid w:val="00D87896"/>
    <w:rsid w:val="00D87FF1"/>
    <w:rsid w:val="00D92483"/>
    <w:rsid w:val="00D92633"/>
    <w:rsid w:val="00D93CE9"/>
    <w:rsid w:val="00D94DB4"/>
    <w:rsid w:val="00D951CB"/>
    <w:rsid w:val="00DA11ED"/>
    <w:rsid w:val="00DA2288"/>
    <w:rsid w:val="00DA243E"/>
    <w:rsid w:val="00DA298C"/>
    <w:rsid w:val="00DB030C"/>
    <w:rsid w:val="00DB0FA8"/>
    <w:rsid w:val="00DB2280"/>
    <w:rsid w:val="00DB403F"/>
    <w:rsid w:val="00DB4A3A"/>
    <w:rsid w:val="00DB4FA7"/>
    <w:rsid w:val="00DB7D94"/>
    <w:rsid w:val="00DC0C6A"/>
    <w:rsid w:val="00DC1AA9"/>
    <w:rsid w:val="00DC2000"/>
    <w:rsid w:val="00DC4A77"/>
    <w:rsid w:val="00DC6E11"/>
    <w:rsid w:val="00DD1B91"/>
    <w:rsid w:val="00DD368B"/>
    <w:rsid w:val="00DD6E29"/>
    <w:rsid w:val="00DE2DA8"/>
    <w:rsid w:val="00DE343C"/>
    <w:rsid w:val="00DE575C"/>
    <w:rsid w:val="00DE578A"/>
    <w:rsid w:val="00DE5D8B"/>
    <w:rsid w:val="00DE6AC5"/>
    <w:rsid w:val="00DE6E7E"/>
    <w:rsid w:val="00DE7DDA"/>
    <w:rsid w:val="00DF1D1E"/>
    <w:rsid w:val="00DF2583"/>
    <w:rsid w:val="00DF54D9"/>
    <w:rsid w:val="00DF6973"/>
    <w:rsid w:val="00DF79E9"/>
    <w:rsid w:val="00E00687"/>
    <w:rsid w:val="00E008CB"/>
    <w:rsid w:val="00E021C8"/>
    <w:rsid w:val="00E034AB"/>
    <w:rsid w:val="00E03D32"/>
    <w:rsid w:val="00E03E8B"/>
    <w:rsid w:val="00E04465"/>
    <w:rsid w:val="00E04E34"/>
    <w:rsid w:val="00E05FDB"/>
    <w:rsid w:val="00E10991"/>
    <w:rsid w:val="00E10DC6"/>
    <w:rsid w:val="00E11F8E"/>
    <w:rsid w:val="00E12B7F"/>
    <w:rsid w:val="00E145EA"/>
    <w:rsid w:val="00E14F4C"/>
    <w:rsid w:val="00E17944"/>
    <w:rsid w:val="00E17BC5"/>
    <w:rsid w:val="00E20A86"/>
    <w:rsid w:val="00E22722"/>
    <w:rsid w:val="00E22C4A"/>
    <w:rsid w:val="00E2347F"/>
    <w:rsid w:val="00E25991"/>
    <w:rsid w:val="00E276B2"/>
    <w:rsid w:val="00E2777A"/>
    <w:rsid w:val="00E33FD2"/>
    <w:rsid w:val="00E33FD4"/>
    <w:rsid w:val="00E34ED6"/>
    <w:rsid w:val="00E3596E"/>
    <w:rsid w:val="00E359F9"/>
    <w:rsid w:val="00E364EF"/>
    <w:rsid w:val="00E4094E"/>
    <w:rsid w:val="00E426A4"/>
    <w:rsid w:val="00E42D22"/>
    <w:rsid w:val="00E4573C"/>
    <w:rsid w:val="00E458E2"/>
    <w:rsid w:val="00E45F37"/>
    <w:rsid w:val="00E466F2"/>
    <w:rsid w:val="00E50A17"/>
    <w:rsid w:val="00E50BD4"/>
    <w:rsid w:val="00E51959"/>
    <w:rsid w:val="00E56173"/>
    <w:rsid w:val="00E56899"/>
    <w:rsid w:val="00E56ADD"/>
    <w:rsid w:val="00E575BA"/>
    <w:rsid w:val="00E5788D"/>
    <w:rsid w:val="00E57CC8"/>
    <w:rsid w:val="00E602A0"/>
    <w:rsid w:val="00E62286"/>
    <w:rsid w:val="00E634B6"/>
    <w:rsid w:val="00E634E3"/>
    <w:rsid w:val="00E645B1"/>
    <w:rsid w:val="00E6586E"/>
    <w:rsid w:val="00E659A6"/>
    <w:rsid w:val="00E7145E"/>
    <w:rsid w:val="00E724F5"/>
    <w:rsid w:val="00E75C19"/>
    <w:rsid w:val="00E75D2C"/>
    <w:rsid w:val="00E76C02"/>
    <w:rsid w:val="00E804B9"/>
    <w:rsid w:val="00E80F31"/>
    <w:rsid w:val="00E82206"/>
    <w:rsid w:val="00E823B0"/>
    <w:rsid w:val="00E82965"/>
    <w:rsid w:val="00E85102"/>
    <w:rsid w:val="00E8592D"/>
    <w:rsid w:val="00E86633"/>
    <w:rsid w:val="00E876A6"/>
    <w:rsid w:val="00E9497F"/>
    <w:rsid w:val="00E95AA0"/>
    <w:rsid w:val="00E96B12"/>
    <w:rsid w:val="00E96D0E"/>
    <w:rsid w:val="00EA0AA8"/>
    <w:rsid w:val="00EA14C5"/>
    <w:rsid w:val="00EA1765"/>
    <w:rsid w:val="00EA26EF"/>
    <w:rsid w:val="00EA3241"/>
    <w:rsid w:val="00EA3B5F"/>
    <w:rsid w:val="00EA5786"/>
    <w:rsid w:val="00EA6068"/>
    <w:rsid w:val="00EA615D"/>
    <w:rsid w:val="00EA75C1"/>
    <w:rsid w:val="00EA7B10"/>
    <w:rsid w:val="00EA7EA3"/>
    <w:rsid w:val="00EB141A"/>
    <w:rsid w:val="00EB1D2E"/>
    <w:rsid w:val="00EB2DEB"/>
    <w:rsid w:val="00EB40BD"/>
    <w:rsid w:val="00EB590D"/>
    <w:rsid w:val="00EB6B45"/>
    <w:rsid w:val="00EB6D1A"/>
    <w:rsid w:val="00EB7038"/>
    <w:rsid w:val="00EB72FE"/>
    <w:rsid w:val="00EB7550"/>
    <w:rsid w:val="00EB7C2E"/>
    <w:rsid w:val="00EC0F04"/>
    <w:rsid w:val="00EC1309"/>
    <w:rsid w:val="00EC237D"/>
    <w:rsid w:val="00EC3951"/>
    <w:rsid w:val="00EC5F70"/>
    <w:rsid w:val="00EC6AAB"/>
    <w:rsid w:val="00EC6F2A"/>
    <w:rsid w:val="00ED2F32"/>
    <w:rsid w:val="00ED4248"/>
    <w:rsid w:val="00ED4526"/>
    <w:rsid w:val="00ED60CA"/>
    <w:rsid w:val="00ED64EF"/>
    <w:rsid w:val="00ED6CDA"/>
    <w:rsid w:val="00EE0CAE"/>
    <w:rsid w:val="00EE0EC3"/>
    <w:rsid w:val="00EE0F72"/>
    <w:rsid w:val="00EE1819"/>
    <w:rsid w:val="00EE1A75"/>
    <w:rsid w:val="00EE1B9E"/>
    <w:rsid w:val="00EE1DC0"/>
    <w:rsid w:val="00EE4A1F"/>
    <w:rsid w:val="00EE53EA"/>
    <w:rsid w:val="00EF009A"/>
    <w:rsid w:val="00EF0126"/>
    <w:rsid w:val="00EF0D0D"/>
    <w:rsid w:val="00EF0ED5"/>
    <w:rsid w:val="00EF1B5A"/>
    <w:rsid w:val="00EF2CCA"/>
    <w:rsid w:val="00EF61AC"/>
    <w:rsid w:val="00EF791D"/>
    <w:rsid w:val="00F00BA3"/>
    <w:rsid w:val="00F01325"/>
    <w:rsid w:val="00F0172C"/>
    <w:rsid w:val="00F017B1"/>
    <w:rsid w:val="00F01BA1"/>
    <w:rsid w:val="00F03E1B"/>
    <w:rsid w:val="00F04D64"/>
    <w:rsid w:val="00F057E0"/>
    <w:rsid w:val="00F10ADF"/>
    <w:rsid w:val="00F10B48"/>
    <w:rsid w:val="00F13F47"/>
    <w:rsid w:val="00F15237"/>
    <w:rsid w:val="00F16EBD"/>
    <w:rsid w:val="00F16F1F"/>
    <w:rsid w:val="00F214D5"/>
    <w:rsid w:val="00F229EF"/>
    <w:rsid w:val="00F22C62"/>
    <w:rsid w:val="00F24A31"/>
    <w:rsid w:val="00F24E4E"/>
    <w:rsid w:val="00F25B7F"/>
    <w:rsid w:val="00F26059"/>
    <w:rsid w:val="00F2608D"/>
    <w:rsid w:val="00F313B0"/>
    <w:rsid w:val="00F33E73"/>
    <w:rsid w:val="00F343DA"/>
    <w:rsid w:val="00F359F8"/>
    <w:rsid w:val="00F3652C"/>
    <w:rsid w:val="00F366F4"/>
    <w:rsid w:val="00F36803"/>
    <w:rsid w:val="00F376A8"/>
    <w:rsid w:val="00F43D1A"/>
    <w:rsid w:val="00F43E8A"/>
    <w:rsid w:val="00F44C9C"/>
    <w:rsid w:val="00F45528"/>
    <w:rsid w:val="00F46AA1"/>
    <w:rsid w:val="00F47235"/>
    <w:rsid w:val="00F47A9A"/>
    <w:rsid w:val="00F50554"/>
    <w:rsid w:val="00F509A5"/>
    <w:rsid w:val="00F5145E"/>
    <w:rsid w:val="00F51771"/>
    <w:rsid w:val="00F53F91"/>
    <w:rsid w:val="00F56255"/>
    <w:rsid w:val="00F57321"/>
    <w:rsid w:val="00F57CD4"/>
    <w:rsid w:val="00F613E9"/>
    <w:rsid w:val="00F6168C"/>
    <w:rsid w:val="00F61A72"/>
    <w:rsid w:val="00F62D1F"/>
    <w:rsid w:val="00F63269"/>
    <w:rsid w:val="00F6371E"/>
    <w:rsid w:val="00F63E0E"/>
    <w:rsid w:val="00F650BD"/>
    <w:rsid w:val="00F65951"/>
    <w:rsid w:val="00F65DE4"/>
    <w:rsid w:val="00F66F13"/>
    <w:rsid w:val="00F67930"/>
    <w:rsid w:val="00F7388E"/>
    <w:rsid w:val="00F738D7"/>
    <w:rsid w:val="00F74073"/>
    <w:rsid w:val="00F74AC4"/>
    <w:rsid w:val="00F74D7D"/>
    <w:rsid w:val="00F7614E"/>
    <w:rsid w:val="00F76834"/>
    <w:rsid w:val="00F77453"/>
    <w:rsid w:val="00F80F82"/>
    <w:rsid w:val="00F81A04"/>
    <w:rsid w:val="00F84116"/>
    <w:rsid w:val="00F8524E"/>
    <w:rsid w:val="00F8778E"/>
    <w:rsid w:val="00F87D67"/>
    <w:rsid w:val="00F87D80"/>
    <w:rsid w:val="00F90E04"/>
    <w:rsid w:val="00F9189A"/>
    <w:rsid w:val="00F928C5"/>
    <w:rsid w:val="00F970A1"/>
    <w:rsid w:val="00FA1759"/>
    <w:rsid w:val="00FA277B"/>
    <w:rsid w:val="00FA3842"/>
    <w:rsid w:val="00FB06ED"/>
    <w:rsid w:val="00FB2516"/>
    <w:rsid w:val="00FB76DB"/>
    <w:rsid w:val="00FC084D"/>
    <w:rsid w:val="00FC36AB"/>
    <w:rsid w:val="00FC3F21"/>
    <w:rsid w:val="00FC5A5F"/>
    <w:rsid w:val="00FC6AB4"/>
    <w:rsid w:val="00FC6EC6"/>
    <w:rsid w:val="00FD09E3"/>
    <w:rsid w:val="00FD1727"/>
    <w:rsid w:val="00FD1D6B"/>
    <w:rsid w:val="00FD2798"/>
    <w:rsid w:val="00FD2A72"/>
    <w:rsid w:val="00FD436D"/>
    <w:rsid w:val="00FD4608"/>
    <w:rsid w:val="00FD5819"/>
    <w:rsid w:val="00FD6DC6"/>
    <w:rsid w:val="00FD6F53"/>
    <w:rsid w:val="00FE15EB"/>
    <w:rsid w:val="00FE4F08"/>
    <w:rsid w:val="00FE5C0A"/>
    <w:rsid w:val="00FE64E4"/>
    <w:rsid w:val="00FF0D35"/>
    <w:rsid w:val="00FF0DF2"/>
    <w:rsid w:val="00FF3A5A"/>
    <w:rsid w:val="00FF4AD1"/>
    <w:rsid w:val="00FF5128"/>
    <w:rsid w:val="00FF6EDD"/>
    <w:rsid w:val="0A2A85C8"/>
    <w:rsid w:val="40D6BEE0"/>
    <w:rsid w:val="5248698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fill="f" fillcolor="white" stroke="f">
      <v:fill color="white" on="f"/>
      <v:stroke on="f"/>
    </o:shapedefaults>
    <o:shapelayout v:ext="edit">
      <o:idmap v:ext="edit" data="1"/>
    </o:shapelayout>
  </w:shapeDefaults>
  <w:decimalSymbol w:val=","/>
  <w:listSeparator w:val=";"/>
  <w14:docId w14:val="4D9748F5"/>
  <w15:docId w15:val="{07B84140-4B0F-44C9-A392-B0C206D91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0554"/>
    <w:pPr>
      <w:spacing w:line="240" w:lineRule="atLeast"/>
    </w:pPr>
    <w:rPr>
      <w:rFonts w:ascii="Verdana" w:hAnsi="Verdana"/>
      <w:sz w:val="18"/>
      <w:szCs w:val="24"/>
    </w:rPr>
  </w:style>
  <w:style w:type="paragraph" w:styleId="Heading1">
    <w:name w:val="heading 1"/>
    <w:basedOn w:val="Normal"/>
    <w:next w:val="Normal"/>
    <w:qFormat/>
    <w:rsid w:val="009627A5"/>
    <w:pPr>
      <w:pageBreakBefore/>
      <w:widowControl w:val="0"/>
      <w:spacing w:after="700" w:line="300" w:lineRule="atLeast"/>
      <w:contextualSpacing/>
      <w:outlineLvl w:val="0"/>
    </w:pPr>
    <w:rPr>
      <w:rFonts w:cs="Arial"/>
      <w:bCs/>
      <w:kern w:val="32"/>
      <w:sz w:val="24"/>
      <w:szCs w:val="18"/>
    </w:rPr>
  </w:style>
  <w:style w:type="paragraph" w:styleId="Heading2">
    <w:name w:val="heading 2"/>
    <w:basedOn w:val="Heading1"/>
    <w:next w:val="Normal"/>
    <w:link w:val="Heading2Char"/>
    <w:qFormat/>
    <w:rsid w:val="009627A5"/>
    <w:pPr>
      <w:keepNext/>
      <w:pageBreakBefore w:val="0"/>
      <w:spacing w:before="200" w:after="0"/>
      <w:outlineLvl w:val="1"/>
    </w:pPr>
    <w:rPr>
      <w:b/>
      <w:bCs w:val="0"/>
      <w:iCs/>
      <w:sz w:val="18"/>
      <w:szCs w:val="28"/>
    </w:rPr>
  </w:style>
  <w:style w:type="paragraph" w:styleId="Heading3">
    <w:name w:val="heading 3"/>
    <w:basedOn w:val="Heading1"/>
    <w:next w:val="Normal"/>
    <w:qFormat/>
    <w:rsid w:val="009627A5"/>
    <w:pPr>
      <w:keepNext/>
      <w:pageBreakBefore w:val="0"/>
      <w:spacing w:before="240" w:after="0" w:line="240" w:lineRule="atLeast"/>
      <w:contextualSpacing w:val="0"/>
      <w:outlineLvl w:val="2"/>
    </w:pPr>
    <w:rPr>
      <w:bCs w:val="0"/>
      <w:i/>
      <w:sz w:val="18"/>
      <w:szCs w:val="26"/>
    </w:rPr>
  </w:style>
  <w:style w:type="paragraph" w:styleId="Heading4">
    <w:name w:val="heading 4"/>
    <w:basedOn w:val="Heading1"/>
    <w:next w:val="Normal"/>
    <w:qFormat/>
    <w:rsid w:val="009627A5"/>
    <w:pPr>
      <w:keepNext/>
      <w:pageBreakBefore w:val="0"/>
      <w:spacing w:before="240" w:after="0" w:line="240" w:lineRule="atLeast"/>
      <w:contextualSpacing w:val="0"/>
      <w:outlineLvl w:val="3"/>
    </w:pPr>
    <w:rPr>
      <w:bCs w:val="0"/>
      <w:sz w:val="18"/>
      <w:szCs w:val="28"/>
    </w:rPr>
  </w:style>
  <w:style w:type="paragraph" w:styleId="Heading5">
    <w:name w:val="heading 5"/>
    <w:basedOn w:val="Normal"/>
    <w:next w:val="Normal"/>
    <w:qFormat/>
    <w:rsid w:val="009627A5"/>
    <w:pPr>
      <w:spacing w:before="240" w:after="60"/>
      <w:outlineLvl w:val="4"/>
    </w:pPr>
    <w:rPr>
      <w:b/>
      <w:bCs/>
      <w:i/>
      <w:iCs/>
      <w:sz w:val="26"/>
      <w:szCs w:val="26"/>
    </w:rPr>
  </w:style>
  <w:style w:type="paragraph" w:styleId="Heading6">
    <w:name w:val="heading 6"/>
    <w:basedOn w:val="Normal"/>
    <w:next w:val="Normal"/>
    <w:qFormat/>
    <w:rsid w:val="00F26059"/>
    <w:pPr>
      <w:numPr>
        <w:ilvl w:val="5"/>
        <w:numId w:val="1"/>
      </w:numPr>
      <w:spacing w:before="240" w:after="60"/>
      <w:outlineLvl w:val="5"/>
    </w:pPr>
    <w:rPr>
      <w:b/>
      <w:bCs/>
      <w:szCs w:val="22"/>
    </w:rPr>
  </w:style>
  <w:style w:type="paragraph" w:styleId="Heading7">
    <w:name w:val="heading 7"/>
    <w:basedOn w:val="Normal"/>
    <w:next w:val="Normal"/>
    <w:qFormat/>
    <w:rsid w:val="00F26059"/>
    <w:pPr>
      <w:numPr>
        <w:ilvl w:val="6"/>
        <w:numId w:val="1"/>
      </w:numPr>
      <w:spacing w:before="240" w:after="60"/>
      <w:outlineLvl w:val="6"/>
    </w:pPr>
    <w:rPr>
      <w:sz w:val="24"/>
    </w:rPr>
  </w:style>
  <w:style w:type="paragraph" w:styleId="Heading8">
    <w:name w:val="heading 8"/>
    <w:basedOn w:val="Normal"/>
    <w:next w:val="Normal"/>
    <w:qFormat/>
    <w:rsid w:val="00F26059"/>
    <w:pPr>
      <w:numPr>
        <w:ilvl w:val="7"/>
        <w:numId w:val="1"/>
      </w:numPr>
      <w:spacing w:before="240" w:after="60"/>
      <w:outlineLvl w:val="7"/>
    </w:pPr>
    <w:rPr>
      <w:i/>
      <w:iCs/>
      <w:sz w:val="24"/>
    </w:rPr>
  </w:style>
  <w:style w:type="paragraph" w:styleId="Heading9">
    <w:name w:val="heading 9"/>
    <w:basedOn w:val="Normal"/>
    <w:next w:val="Normal"/>
    <w:qFormat/>
    <w:rsid w:val="00FF0DF2"/>
    <w:pPr>
      <w:numPr>
        <w:ilvl w:val="8"/>
        <w:numId w:val="1"/>
      </w:numPr>
      <w:spacing w:before="240" w:after="60"/>
      <w:outlineLvl w:val="8"/>
    </w:pPr>
    <w:rPr>
      <w:rFonts w:cs="Arial"/>
      <w:b/>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Kop-Inhoudsopgave">
    <w:name w:val="Kop-Inhoudsopgave"/>
    <w:basedOn w:val="Kopzondernummering"/>
    <w:next w:val="Normal"/>
    <w:rsid w:val="009627A5"/>
  </w:style>
  <w:style w:type="paragraph" w:customStyle="1" w:styleId="Kopzondernummering">
    <w:name w:val="Kop zonder nummering"/>
    <w:basedOn w:val="Normal"/>
    <w:next w:val="Normal"/>
    <w:rsid w:val="009627A5"/>
    <w:pPr>
      <w:spacing w:after="700" w:line="300" w:lineRule="atLeast"/>
      <w:contextualSpacing/>
    </w:pPr>
    <w:rPr>
      <w:sz w:val="24"/>
    </w:rPr>
  </w:style>
  <w:style w:type="character" w:styleId="Hyperlink">
    <w:name w:val="Hyperlink"/>
    <w:uiPriority w:val="99"/>
    <w:rsid w:val="009627A5"/>
    <w:rPr>
      <w:rFonts w:ascii="Verdana" w:hAnsi="Verdana"/>
      <w:color w:val="000000"/>
      <w:u w:val="single"/>
    </w:rPr>
  </w:style>
  <w:style w:type="character" w:customStyle="1" w:styleId="ListNumber2Char">
    <w:name w:val="List Number 2 Char"/>
    <w:link w:val="ListNumber2"/>
    <w:rsid w:val="003C18C0"/>
    <w:rPr>
      <w:rFonts w:ascii="Verdana" w:hAnsi="Verdana"/>
      <w:sz w:val="18"/>
      <w:szCs w:val="24"/>
    </w:rPr>
  </w:style>
  <w:style w:type="paragraph" w:styleId="ListNumber2">
    <w:name w:val="List Number 2"/>
    <w:basedOn w:val="Normal"/>
    <w:link w:val="ListNumber2Char"/>
    <w:rsid w:val="009627A5"/>
    <w:pPr>
      <w:numPr>
        <w:numId w:val="4"/>
      </w:numPr>
    </w:pPr>
  </w:style>
  <w:style w:type="paragraph" w:styleId="TOC1">
    <w:name w:val="toc 1"/>
    <w:basedOn w:val="Normal"/>
    <w:next w:val="Normal"/>
    <w:uiPriority w:val="39"/>
    <w:rsid w:val="007724AB"/>
  </w:style>
  <w:style w:type="paragraph" w:customStyle="1" w:styleId="Huisstijl-Paginanummering">
    <w:name w:val="Huisstijl-Paginanummering"/>
    <w:basedOn w:val="Normal"/>
    <w:rsid w:val="009627A5"/>
    <w:pPr>
      <w:spacing w:line="180" w:lineRule="exact"/>
    </w:pPr>
    <w:rPr>
      <w:noProof/>
      <w:sz w:val="13"/>
    </w:rPr>
  </w:style>
  <w:style w:type="character" w:customStyle="1" w:styleId="ListNumberChar">
    <w:name w:val="List Number Char"/>
    <w:link w:val="ListNumber"/>
    <w:rsid w:val="003C18C0"/>
    <w:rPr>
      <w:rFonts w:ascii="Verdana" w:hAnsi="Verdana"/>
      <w:sz w:val="18"/>
      <w:szCs w:val="24"/>
    </w:rPr>
  </w:style>
  <w:style w:type="paragraph" w:styleId="ListNumber">
    <w:name w:val="List Number"/>
    <w:basedOn w:val="Normal"/>
    <w:link w:val="ListNumberChar"/>
    <w:rsid w:val="009627A5"/>
    <w:pPr>
      <w:numPr>
        <w:numId w:val="3"/>
      </w:numPr>
    </w:pPr>
  </w:style>
  <w:style w:type="character" w:customStyle="1" w:styleId="Huisstijl-Koptekst">
    <w:name w:val="Huisstijl-Koptekst"/>
    <w:rsid w:val="009627A5"/>
    <w:rPr>
      <w:rFonts w:ascii="Verdana" w:hAnsi="Verdana"/>
      <w:dstrike w:val="0"/>
      <w:sz w:val="13"/>
      <w:vertAlign w:val="baseline"/>
    </w:rPr>
  </w:style>
  <w:style w:type="paragraph" w:styleId="Header">
    <w:name w:val="header"/>
    <w:basedOn w:val="Normal"/>
    <w:rsid w:val="009627A5"/>
    <w:pPr>
      <w:tabs>
        <w:tab w:val="center" w:pos="4536"/>
        <w:tab w:val="right" w:pos="9072"/>
      </w:tabs>
    </w:pPr>
  </w:style>
  <w:style w:type="paragraph" w:styleId="Footer">
    <w:name w:val="footer"/>
    <w:basedOn w:val="Normal"/>
    <w:link w:val="FooterChar"/>
    <w:uiPriority w:val="99"/>
    <w:rsid w:val="009627A5"/>
    <w:pPr>
      <w:tabs>
        <w:tab w:val="center" w:pos="4536"/>
        <w:tab w:val="right" w:pos="9072"/>
      </w:tabs>
    </w:pPr>
  </w:style>
  <w:style w:type="paragraph" w:styleId="ListBullet2">
    <w:name w:val="List Bullet 2"/>
    <w:basedOn w:val="Normal"/>
    <w:rsid w:val="008F2143"/>
    <w:pPr>
      <w:tabs>
        <w:tab w:val="num" w:pos="-31680"/>
      </w:tabs>
      <w:ind w:left="454" w:hanging="227"/>
    </w:pPr>
    <w:rPr>
      <w:noProof/>
    </w:rPr>
  </w:style>
  <w:style w:type="paragraph" w:styleId="ListBullet">
    <w:name w:val="List Bullet"/>
    <w:basedOn w:val="Normal"/>
    <w:rsid w:val="009627A5"/>
    <w:pPr>
      <w:numPr>
        <w:numId w:val="2"/>
      </w:numPr>
    </w:pPr>
  </w:style>
  <w:style w:type="paragraph" w:styleId="Subtitle">
    <w:name w:val="Subtitle"/>
    <w:basedOn w:val="Normal"/>
    <w:next w:val="Normal"/>
    <w:link w:val="SubtitleChar"/>
    <w:qFormat/>
    <w:rsid w:val="009627A5"/>
    <w:pPr>
      <w:spacing w:line="320" w:lineRule="atLeast"/>
      <w:outlineLvl w:val="1"/>
    </w:pPr>
    <w:rPr>
      <w:sz w:val="24"/>
    </w:rPr>
  </w:style>
  <w:style w:type="paragraph" w:styleId="Title">
    <w:name w:val="Title"/>
    <w:basedOn w:val="Normal"/>
    <w:qFormat/>
    <w:rsid w:val="009627A5"/>
    <w:pPr>
      <w:spacing w:line="320" w:lineRule="atLeast"/>
      <w:outlineLvl w:val="0"/>
    </w:pPr>
    <w:rPr>
      <w:rFonts w:cs="Arial"/>
      <w:b/>
      <w:bCs/>
      <w:kern w:val="28"/>
      <w:sz w:val="24"/>
      <w:szCs w:val="32"/>
    </w:rPr>
  </w:style>
  <w:style w:type="character" w:customStyle="1" w:styleId="Huisstijl-Rubricering">
    <w:name w:val="Huisstijl-Rubricering"/>
    <w:rsid w:val="009627A5"/>
    <w:rPr>
      <w:rFonts w:ascii="Verdana" w:hAnsi="Verdana"/>
      <w:b/>
      <w:smallCaps/>
      <w:dstrike w:val="0"/>
      <w:sz w:val="13"/>
      <w:vertAlign w:val="baseline"/>
    </w:rPr>
  </w:style>
  <w:style w:type="paragraph" w:styleId="TOC2">
    <w:name w:val="toc 2"/>
    <w:basedOn w:val="TOC1"/>
    <w:next w:val="Normal"/>
    <w:autoRedefine/>
    <w:uiPriority w:val="39"/>
    <w:rsid w:val="000842B5"/>
    <w:pPr>
      <w:tabs>
        <w:tab w:val="right" w:leader="dot" w:pos="7716"/>
      </w:tabs>
      <w:spacing w:before="240"/>
      <w:ind w:hanging="1162"/>
    </w:pPr>
    <w:rPr>
      <w:b/>
      <w:noProof/>
    </w:rPr>
  </w:style>
  <w:style w:type="paragraph" w:styleId="NormalWeb">
    <w:name w:val="Normal (Web)"/>
    <w:basedOn w:val="Normal"/>
    <w:uiPriority w:val="99"/>
    <w:rsid w:val="009627A5"/>
  </w:style>
  <w:style w:type="paragraph" w:styleId="TOC3">
    <w:name w:val="toc 3"/>
    <w:basedOn w:val="TOC2"/>
    <w:next w:val="Normal"/>
    <w:uiPriority w:val="39"/>
    <w:rsid w:val="007724AB"/>
    <w:pPr>
      <w:spacing w:before="0"/>
    </w:pPr>
    <w:rPr>
      <w:b w:val="0"/>
    </w:rPr>
  </w:style>
  <w:style w:type="paragraph" w:customStyle="1" w:styleId="Huisstijl-TabelTitel">
    <w:name w:val="Huisstijl-TabelTitel"/>
    <w:basedOn w:val="Normal"/>
    <w:next w:val="Normal"/>
    <w:rsid w:val="009627A5"/>
    <w:rPr>
      <w:b/>
      <w:sz w:val="14"/>
    </w:rPr>
  </w:style>
  <w:style w:type="paragraph" w:customStyle="1" w:styleId="Huisstijl-Bijschrift">
    <w:name w:val="Huisstijl-Bijschrift"/>
    <w:basedOn w:val="Normal"/>
    <w:next w:val="Normal"/>
    <w:rsid w:val="009627A5"/>
    <w:rPr>
      <w:i/>
    </w:rPr>
  </w:style>
  <w:style w:type="table" w:styleId="TableGrid">
    <w:name w:val="Table Grid"/>
    <w:basedOn w:val="TableNormal"/>
    <w:rsid w:val="009627A5"/>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Huisstijl-Tabel">
    <w:name w:val="Huisstijl-Tabel"/>
    <w:basedOn w:val="TableNormal"/>
    <w:rsid w:val="009627A5"/>
    <w:rPr>
      <w:rFonts w:ascii="Verdana" w:hAnsi="Verdana"/>
      <w:sz w:val="14"/>
    </w:rPr>
    <w:tblP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120" w:type="dxa"/>
        <w:left w:w="60" w:type="dxa"/>
        <w:bottom w:w="120" w:type="dxa"/>
        <w:right w:w="60" w:type="dxa"/>
      </w:tblCellMar>
    </w:tblPr>
    <w:tblStylePr w:type="firstRow">
      <w:tblPr/>
      <w:tcPr>
        <w:tcMar>
          <w:top w:w="0" w:type="nil"/>
          <w:left w:w="60" w:type="dxa"/>
          <w:bottom w:w="120" w:type="dxa"/>
          <w:right w:w="60" w:type="dxa"/>
        </w:tcMar>
      </w:tcPr>
    </w:tblStylePr>
  </w:style>
  <w:style w:type="paragraph" w:customStyle="1" w:styleId="Huisstijl-TabelTekst">
    <w:name w:val="Huisstijl-TabelTekst"/>
    <w:basedOn w:val="Huisstijl-TabelTitel"/>
    <w:rsid w:val="009627A5"/>
    <w:rPr>
      <w:b w:val="0"/>
    </w:rPr>
  </w:style>
  <w:style w:type="paragraph" w:styleId="TOC4">
    <w:name w:val="toc 4"/>
    <w:basedOn w:val="TOC3"/>
    <w:next w:val="Normal"/>
    <w:semiHidden/>
    <w:rsid w:val="007724AB"/>
  </w:style>
  <w:style w:type="paragraph" w:styleId="TOC5">
    <w:name w:val="toc 5"/>
    <w:basedOn w:val="Normal"/>
    <w:next w:val="Normal"/>
    <w:autoRedefine/>
    <w:semiHidden/>
    <w:rsid w:val="007724AB"/>
    <w:pPr>
      <w:ind w:left="720"/>
    </w:pPr>
  </w:style>
  <w:style w:type="paragraph" w:styleId="FootnoteText">
    <w:name w:val="footnote text"/>
    <w:basedOn w:val="Normal"/>
    <w:link w:val="FootnoteTextChar"/>
    <w:semiHidden/>
    <w:rsid w:val="00646E47"/>
    <w:pPr>
      <w:tabs>
        <w:tab w:val="left" w:pos="600"/>
      </w:tabs>
      <w:spacing w:line="180" w:lineRule="atLeast"/>
      <w:ind w:left="240" w:hanging="240"/>
    </w:pPr>
    <w:rPr>
      <w:sz w:val="13"/>
      <w:szCs w:val="20"/>
    </w:rPr>
  </w:style>
  <w:style w:type="character" w:styleId="FootnoteReference">
    <w:name w:val="footnote reference"/>
    <w:semiHidden/>
    <w:rsid w:val="00646E47"/>
    <w:rPr>
      <w:vertAlign w:val="superscript"/>
    </w:rPr>
  </w:style>
  <w:style w:type="paragraph" w:styleId="EndnoteText">
    <w:name w:val="endnote text"/>
    <w:basedOn w:val="Normal"/>
    <w:semiHidden/>
    <w:rsid w:val="00646E47"/>
    <w:rPr>
      <w:sz w:val="20"/>
      <w:szCs w:val="20"/>
    </w:rPr>
  </w:style>
  <w:style w:type="character" w:styleId="EndnoteReference">
    <w:name w:val="endnote reference"/>
    <w:semiHidden/>
    <w:rsid w:val="00646E47"/>
    <w:rPr>
      <w:vertAlign w:val="superscript"/>
    </w:rPr>
  </w:style>
  <w:style w:type="paragraph" w:customStyle="1" w:styleId="Bestandsnaam">
    <w:name w:val="Bestandsnaam"/>
    <w:basedOn w:val="Header"/>
    <w:rsid w:val="009627A5"/>
    <w:pPr>
      <w:tabs>
        <w:tab w:val="clear" w:pos="4536"/>
        <w:tab w:val="clear" w:pos="9072"/>
        <w:tab w:val="center" w:pos="4153"/>
        <w:tab w:val="right" w:pos="8306"/>
      </w:tabs>
      <w:spacing w:line="280" w:lineRule="exact"/>
    </w:pPr>
    <w:rPr>
      <w:rFonts w:ascii="Times New Roman" w:hAnsi="Times New Roman"/>
      <w:sz w:val="16"/>
      <w:szCs w:val="20"/>
      <w:lang w:eastAsia="en-US"/>
    </w:rPr>
  </w:style>
  <w:style w:type="paragraph" w:customStyle="1" w:styleId="Huisstijl-Adres">
    <w:name w:val="Huisstijl-Adres"/>
    <w:basedOn w:val="Normal"/>
    <w:rsid w:val="009627A5"/>
    <w:pPr>
      <w:tabs>
        <w:tab w:val="left" w:pos="192"/>
      </w:tabs>
      <w:adjustRightInd w:val="0"/>
      <w:spacing w:after="90" w:line="180" w:lineRule="exact"/>
    </w:pPr>
    <w:rPr>
      <w:rFonts w:cs="Verdana"/>
      <w:noProof/>
      <w:sz w:val="13"/>
      <w:szCs w:val="13"/>
    </w:rPr>
  </w:style>
  <w:style w:type="paragraph" w:customStyle="1" w:styleId="Huisstijl-Gegeven">
    <w:name w:val="Huisstijl-Gegeven"/>
    <w:basedOn w:val="Normal"/>
    <w:link w:val="Huisstijl-GegevenCharChar"/>
    <w:rsid w:val="009627A5"/>
    <w:pPr>
      <w:spacing w:after="92" w:line="180" w:lineRule="exact"/>
    </w:pPr>
    <w:rPr>
      <w:noProof/>
      <w:sz w:val="13"/>
    </w:rPr>
  </w:style>
  <w:style w:type="character" w:customStyle="1" w:styleId="Huisstijl-GegevenCharChar">
    <w:name w:val="Huisstijl-Gegeven Char Char"/>
    <w:link w:val="Huisstijl-Gegeven"/>
    <w:rsid w:val="009627A5"/>
    <w:rPr>
      <w:rFonts w:ascii="Verdana" w:hAnsi="Verdana"/>
      <w:noProof/>
      <w:sz w:val="13"/>
      <w:szCs w:val="24"/>
      <w:lang w:val="nl-NL" w:eastAsia="nl-NL" w:bidi="ar-SA"/>
    </w:rPr>
  </w:style>
  <w:style w:type="paragraph" w:customStyle="1" w:styleId="Huisstijl-KixCode">
    <w:name w:val="Huisstijl-KixCode"/>
    <w:basedOn w:val="Normal"/>
    <w:rsid w:val="009627A5"/>
    <w:pPr>
      <w:spacing w:before="60" w:line="240" w:lineRule="auto"/>
    </w:pPr>
    <w:rPr>
      <w:rFonts w:ascii="KIX Barcode" w:hAnsi="KIX Barcode"/>
      <w:b/>
      <w:bCs/>
      <w:smallCaps/>
      <w:noProof/>
      <w:sz w:val="24"/>
    </w:rPr>
  </w:style>
  <w:style w:type="paragraph" w:customStyle="1" w:styleId="Huisstijl-Kopje">
    <w:name w:val="Huisstijl-Kopje"/>
    <w:basedOn w:val="Huisstijl-Gegeven"/>
    <w:rsid w:val="009627A5"/>
    <w:pPr>
      <w:spacing w:after="0"/>
    </w:pPr>
    <w:rPr>
      <w:b/>
    </w:rPr>
  </w:style>
  <w:style w:type="paragraph" w:customStyle="1" w:styleId="Huisstijl-NAW">
    <w:name w:val="Huisstijl-NAW"/>
    <w:basedOn w:val="Normal"/>
    <w:rsid w:val="009627A5"/>
    <w:pPr>
      <w:adjustRightInd w:val="0"/>
    </w:pPr>
    <w:rPr>
      <w:rFonts w:cs="Verdana"/>
      <w:noProof/>
      <w:szCs w:val="18"/>
    </w:rPr>
  </w:style>
  <w:style w:type="paragraph" w:customStyle="1" w:styleId="Huisstijl-Retouradres">
    <w:name w:val="Huisstijl-Retouradres"/>
    <w:basedOn w:val="Normal"/>
    <w:rsid w:val="009627A5"/>
    <w:pPr>
      <w:spacing w:line="180" w:lineRule="exact"/>
    </w:pPr>
    <w:rPr>
      <w:noProof/>
      <w:sz w:val="13"/>
    </w:rPr>
  </w:style>
  <w:style w:type="paragraph" w:customStyle="1" w:styleId="Huisstijl-Voorwaarden">
    <w:name w:val="Huisstijl-Voorwaarden"/>
    <w:basedOn w:val="Normal"/>
    <w:rsid w:val="009627A5"/>
    <w:pPr>
      <w:spacing w:line="180" w:lineRule="exact"/>
    </w:pPr>
    <w:rPr>
      <w:i/>
      <w:noProof/>
      <w:sz w:val="13"/>
    </w:rPr>
  </w:style>
  <w:style w:type="paragraph" w:customStyle="1" w:styleId="Minuut">
    <w:name w:val="Minuut"/>
    <w:basedOn w:val="Normal"/>
    <w:rsid w:val="009627A5"/>
    <w:pPr>
      <w:spacing w:line="280" w:lineRule="exact"/>
    </w:pPr>
    <w:rPr>
      <w:rFonts w:ascii="Times New Roman" w:hAnsi="Times New Roman"/>
      <w:b/>
      <w:sz w:val="20"/>
      <w:szCs w:val="20"/>
      <w:lang w:eastAsia="en-US"/>
    </w:rPr>
  </w:style>
  <w:style w:type="numbering" w:customStyle="1" w:styleId="StyleBulleted">
    <w:name w:val="Style Bulleted"/>
    <w:basedOn w:val="NoList"/>
    <w:rsid w:val="009627A5"/>
    <w:pPr>
      <w:numPr>
        <w:numId w:val="5"/>
      </w:numPr>
    </w:pPr>
  </w:style>
  <w:style w:type="numbering" w:customStyle="1" w:styleId="StyleNumbered">
    <w:name w:val="Style Numbered"/>
    <w:basedOn w:val="NoList"/>
    <w:rsid w:val="009627A5"/>
    <w:pPr>
      <w:numPr>
        <w:numId w:val="6"/>
      </w:numPr>
    </w:pPr>
  </w:style>
  <w:style w:type="paragraph" w:styleId="DocumentMap">
    <w:name w:val="Document Map"/>
    <w:basedOn w:val="Normal"/>
    <w:semiHidden/>
    <w:rsid w:val="003E713E"/>
    <w:pPr>
      <w:shd w:val="clear" w:color="auto" w:fill="000080"/>
    </w:pPr>
    <w:rPr>
      <w:rFonts w:ascii="Tahoma" w:hAnsi="Tahoma" w:cs="Tahoma"/>
      <w:sz w:val="20"/>
      <w:szCs w:val="20"/>
    </w:rPr>
  </w:style>
  <w:style w:type="paragraph" w:customStyle="1" w:styleId="Table">
    <w:name w:val="Table"/>
    <w:basedOn w:val="Normal"/>
    <w:rsid w:val="00470830"/>
    <w:pPr>
      <w:spacing w:line="280" w:lineRule="atLeast"/>
    </w:pPr>
    <w:rPr>
      <w:rFonts w:ascii="Times New Roman" w:hAnsi="Times New Roman"/>
      <w:sz w:val="22"/>
      <w:szCs w:val="20"/>
      <w:lang w:val="fr-FR" w:eastAsia="en-US" w:bidi="he-IL"/>
    </w:rPr>
  </w:style>
  <w:style w:type="paragraph" w:styleId="Caption">
    <w:name w:val="caption"/>
    <w:basedOn w:val="Normal"/>
    <w:next w:val="Normal"/>
    <w:qFormat/>
    <w:rsid w:val="00646E47"/>
    <w:rPr>
      <w:b/>
      <w:bCs/>
      <w:szCs w:val="20"/>
    </w:rPr>
  </w:style>
  <w:style w:type="paragraph" w:customStyle="1" w:styleId="Huisstijl-Adres2">
    <w:name w:val="Huisstijl-Adres2"/>
    <w:basedOn w:val="Huisstijl-Adres"/>
    <w:rsid w:val="00646E47"/>
    <w:pPr>
      <w:spacing w:after="0"/>
    </w:pPr>
  </w:style>
  <w:style w:type="paragraph" w:styleId="BodyText">
    <w:name w:val="Body Text"/>
    <w:basedOn w:val="Normal"/>
    <w:link w:val="BodyTextChar"/>
    <w:rsid w:val="00B56D45"/>
    <w:pPr>
      <w:spacing w:after="120"/>
    </w:pPr>
  </w:style>
  <w:style w:type="character" w:customStyle="1" w:styleId="SubtitleChar">
    <w:name w:val="Subtitle Char"/>
    <w:link w:val="Subtitle"/>
    <w:rsid w:val="008517DE"/>
    <w:rPr>
      <w:rFonts w:ascii="Verdana" w:hAnsi="Verdana"/>
      <w:sz w:val="24"/>
      <w:szCs w:val="24"/>
      <w:lang w:val="nl-NL" w:eastAsia="nl-NL" w:bidi="ar-SA"/>
    </w:rPr>
  </w:style>
  <w:style w:type="character" w:styleId="PageNumber">
    <w:name w:val="page number"/>
    <w:basedOn w:val="DefaultParagraphFont"/>
    <w:rsid w:val="009E1B8B"/>
  </w:style>
  <w:style w:type="character" w:styleId="CommentReference">
    <w:name w:val="annotation reference"/>
    <w:semiHidden/>
    <w:rsid w:val="008777AA"/>
    <w:rPr>
      <w:sz w:val="16"/>
      <w:szCs w:val="16"/>
    </w:rPr>
  </w:style>
  <w:style w:type="paragraph" w:styleId="CommentText">
    <w:name w:val="annotation text"/>
    <w:basedOn w:val="Normal"/>
    <w:link w:val="CommentTextChar"/>
    <w:semiHidden/>
    <w:rsid w:val="008777AA"/>
    <w:rPr>
      <w:sz w:val="20"/>
      <w:szCs w:val="20"/>
    </w:rPr>
  </w:style>
  <w:style w:type="paragraph" w:styleId="BalloonText">
    <w:name w:val="Balloon Text"/>
    <w:basedOn w:val="Normal"/>
    <w:semiHidden/>
    <w:rsid w:val="008777AA"/>
    <w:rPr>
      <w:rFonts w:ascii="Tahoma" w:hAnsi="Tahoma" w:cs="Tahoma"/>
      <w:sz w:val="16"/>
      <w:szCs w:val="16"/>
    </w:rPr>
  </w:style>
  <w:style w:type="character" w:customStyle="1" w:styleId="FootnoteTextChar">
    <w:name w:val="Footnote Text Char"/>
    <w:link w:val="FootnoteText"/>
    <w:semiHidden/>
    <w:rsid w:val="005150FC"/>
    <w:rPr>
      <w:rFonts w:ascii="Verdana" w:hAnsi="Verdana"/>
      <w:sz w:val="13"/>
    </w:rPr>
  </w:style>
  <w:style w:type="paragraph" w:styleId="PlainText">
    <w:name w:val="Plain Text"/>
    <w:basedOn w:val="Normal"/>
    <w:link w:val="PlainTextChar"/>
    <w:uiPriority w:val="99"/>
    <w:unhideWhenUsed/>
    <w:rsid w:val="00033E8D"/>
    <w:pPr>
      <w:spacing w:line="240" w:lineRule="auto"/>
    </w:pPr>
    <w:rPr>
      <w:rFonts w:ascii="Calibri" w:eastAsia="Calibri" w:hAnsi="Calibri"/>
      <w:sz w:val="22"/>
      <w:szCs w:val="21"/>
      <w:lang w:eastAsia="en-US"/>
    </w:rPr>
  </w:style>
  <w:style w:type="character" w:customStyle="1" w:styleId="PlainTextChar">
    <w:name w:val="Plain Text Char"/>
    <w:link w:val="PlainText"/>
    <w:uiPriority w:val="99"/>
    <w:rsid w:val="00033E8D"/>
    <w:rPr>
      <w:rFonts w:ascii="Calibri" w:eastAsia="Calibri" w:hAnsi="Calibri"/>
      <w:sz w:val="22"/>
      <w:szCs w:val="21"/>
      <w:lang w:eastAsia="en-US"/>
    </w:rPr>
  </w:style>
  <w:style w:type="character" w:customStyle="1" w:styleId="Heading2Char">
    <w:name w:val="Heading 2 Char"/>
    <w:link w:val="Heading2"/>
    <w:rsid w:val="005749A5"/>
    <w:rPr>
      <w:rFonts w:ascii="Verdana" w:hAnsi="Verdana" w:cs="Arial"/>
      <w:b/>
      <w:iCs/>
      <w:kern w:val="32"/>
      <w:sz w:val="18"/>
      <w:szCs w:val="28"/>
    </w:rPr>
  </w:style>
  <w:style w:type="paragraph" w:styleId="CommentSubject">
    <w:name w:val="annotation subject"/>
    <w:basedOn w:val="CommentText"/>
    <w:next w:val="CommentText"/>
    <w:link w:val="CommentSubjectChar"/>
    <w:rsid w:val="00EE0CAE"/>
    <w:rPr>
      <w:b/>
      <w:bCs/>
    </w:rPr>
  </w:style>
  <w:style w:type="character" w:customStyle="1" w:styleId="CommentTextChar">
    <w:name w:val="Comment Text Char"/>
    <w:link w:val="CommentText"/>
    <w:semiHidden/>
    <w:rsid w:val="00EE0CAE"/>
    <w:rPr>
      <w:rFonts w:ascii="Verdana" w:hAnsi="Verdana"/>
    </w:rPr>
  </w:style>
  <w:style w:type="character" w:customStyle="1" w:styleId="CommentSubjectChar">
    <w:name w:val="Comment Subject Char"/>
    <w:link w:val="CommentSubject"/>
    <w:rsid w:val="00EE0CAE"/>
    <w:rPr>
      <w:rFonts w:ascii="Verdana" w:hAnsi="Verdana"/>
      <w:b/>
      <w:bCs/>
    </w:rPr>
  </w:style>
  <w:style w:type="paragraph" w:styleId="Revision">
    <w:name w:val="Revision"/>
    <w:hidden/>
    <w:uiPriority w:val="99"/>
    <w:semiHidden/>
    <w:rsid w:val="008A646F"/>
    <w:rPr>
      <w:rFonts w:ascii="Verdana" w:hAnsi="Verdana"/>
      <w:sz w:val="18"/>
      <w:szCs w:val="24"/>
    </w:rPr>
  </w:style>
  <w:style w:type="paragraph" w:customStyle="1" w:styleId="Default">
    <w:name w:val="Default"/>
    <w:uiPriority w:val="99"/>
    <w:rsid w:val="00443B21"/>
    <w:pPr>
      <w:autoSpaceDE w:val="0"/>
      <w:autoSpaceDN w:val="0"/>
      <w:adjustRightInd w:val="0"/>
    </w:pPr>
    <w:rPr>
      <w:rFonts w:ascii="HJECK C+ Univers" w:eastAsia="Calibri" w:hAnsi="HJECK C+ Univers" w:cs="HJECK C+ Univers"/>
      <w:color w:val="000000"/>
      <w:sz w:val="24"/>
      <w:szCs w:val="24"/>
      <w:lang w:eastAsia="en-US"/>
    </w:rPr>
  </w:style>
  <w:style w:type="paragraph" w:styleId="ListParagraph">
    <w:name w:val="List Paragraph"/>
    <w:basedOn w:val="Normal"/>
    <w:uiPriority w:val="34"/>
    <w:qFormat/>
    <w:rsid w:val="000E6C30"/>
    <w:pPr>
      <w:ind w:left="720"/>
      <w:contextualSpacing/>
    </w:pPr>
  </w:style>
  <w:style w:type="character" w:styleId="FollowedHyperlink">
    <w:name w:val="FollowedHyperlink"/>
    <w:basedOn w:val="DefaultParagraphFont"/>
    <w:semiHidden/>
    <w:unhideWhenUsed/>
    <w:rsid w:val="00F44C9C"/>
    <w:rPr>
      <w:color w:val="954F72" w:themeColor="followedHyperlink"/>
      <w:u w:val="single"/>
    </w:rPr>
  </w:style>
  <w:style w:type="character" w:customStyle="1" w:styleId="normaltextrun">
    <w:name w:val="normaltextrun"/>
    <w:basedOn w:val="DefaultParagraphFont"/>
    <w:rsid w:val="00B4789A"/>
  </w:style>
  <w:style w:type="character" w:customStyle="1" w:styleId="BodyTextChar">
    <w:name w:val="Body Text Char"/>
    <w:basedOn w:val="DefaultParagraphFont"/>
    <w:link w:val="BodyText"/>
    <w:rsid w:val="000C7B90"/>
    <w:rPr>
      <w:rFonts w:ascii="Verdana" w:hAnsi="Verdana"/>
      <w:sz w:val="18"/>
      <w:szCs w:val="24"/>
    </w:rPr>
  </w:style>
  <w:style w:type="character" w:customStyle="1" w:styleId="FooterChar">
    <w:name w:val="Footer Char"/>
    <w:basedOn w:val="DefaultParagraphFont"/>
    <w:link w:val="Footer"/>
    <w:uiPriority w:val="99"/>
    <w:rsid w:val="00794FE6"/>
    <w:rPr>
      <w:rFonts w:ascii="Verdana" w:hAnsi="Verdana"/>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4443446">
      <w:bodyDiv w:val="1"/>
      <w:marLeft w:val="0"/>
      <w:marRight w:val="0"/>
      <w:marTop w:val="0"/>
      <w:marBottom w:val="0"/>
      <w:divBdr>
        <w:top w:val="none" w:sz="0" w:space="0" w:color="auto"/>
        <w:left w:val="none" w:sz="0" w:space="0" w:color="auto"/>
        <w:bottom w:val="none" w:sz="0" w:space="0" w:color="auto"/>
        <w:right w:val="none" w:sz="0" w:space="0" w:color="auto"/>
      </w:divBdr>
    </w:div>
    <w:div w:id="514418116">
      <w:bodyDiv w:val="1"/>
      <w:marLeft w:val="0"/>
      <w:marRight w:val="0"/>
      <w:marTop w:val="0"/>
      <w:marBottom w:val="0"/>
      <w:divBdr>
        <w:top w:val="none" w:sz="0" w:space="0" w:color="auto"/>
        <w:left w:val="none" w:sz="0" w:space="0" w:color="auto"/>
        <w:bottom w:val="none" w:sz="0" w:space="0" w:color="auto"/>
        <w:right w:val="none" w:sz="0" w:space="0" w:color="auto"/>
      </w:divBdr>
      <w:divsChild>
        <w:div w:id="1338772541">
          <w:marLeft w:val="0"/>
          <w:marRight w:val="0"/>
          <w:marTop w:val="0"/>
          <w:marBottom w:val="0"/>
          <w:divBdr>
            <w:top w:val="none" w:sz="0" w:space="0" w:color="auto"/>
            <w:left w:val="none" w:sz="0" w:space="0" w:color="auto"/>
            <w:bottom w:val="none" w:sz="0" w:space="0" w:color="auto"/>
            <w:right w:val="none" w:sz="0" w:space="0" w:color="auto"/>
          </w:divBdr>
          <w:divsChild>
            <w:div w:id="1635256463">
              <w:marLeft w:val="0"/>
              <w:marRight w:val="0"/>
              <w:marTop w:val="0"/>
              <w:marBottom w:val="0"/>
              <w:divBdr>
                <w:top w:val="none" w:sz="0" w:space="0" w:color="auto"/>
                <w:left w:val="none" w:sz="0" w:space="0" w:color="auto"/>
                <w:bottom w:val="none" w:sz="0" w:space="0" w:color="auto"/>
                <w:right w:val="none" w:sz="0" w:space="0" w:color="auto"/>
              </w:divBdr>
              <w:divsChild>
                <w:div w:id="1782603038">
                  <w:marLeft w:val="0"/>
                  <w:marRight w:val="0"/>
                  <w:marTop w:val="0"/>
                  <w:marBottom w:val="0"/>
                  <w:divBdr>
                    <w:top w:val="none" w:sz="0" w:space="0" w:color="auto"/>
                    <w:left w:val="none" w:sz="0" w:space="0" w:color="auto"/>
                    <w:bottom w:val="none" w:sz="0" w:space="0" w:color="auto"/>
                    <w:right w:val="none" w:sz="0" w:space="0" w:color="auto"/>
                  </w:divBdr>
                  <w:divsChild>
                    <w:div w:id="2140297729">
                      <w:marLeft w:val="0"/>
                      <w:marRight w:val="0"/>
                      <w:marTop w:val="0"/>
                      <w:marBottom w:val="0"/>
                      <w:divBdr>
                        <w:top w:val="none" w:sz="0" w:space="0" w:color="auto"/>
                        <w:left w:val="none" w:sz="0" w:space="0" w:color="auto"/>
                        <w:bottom w:val="none" w:sz="0" w:space="0" w:color="auto"/>
                        <w:right w:val="none" w:sz="0" w:space="0" w:color="auto"/>
                      </w:divBdr>
                      <w:divsChild>
                        <w:div w:id="682589243">
                          <w:marLeft w:val="0"/>
                          <w:marRight w:val="0"/>
                          <w:marTop w:val="0"/>
                          <w:marBottom w:val="0"/>
                          <w:divBdr>
                            <w:top w:val="none" w:sz="0" w:space="0" w:color="auto"/>
                            <w:left w:val="none" w:sz="0" w:space="0" w:color="auto"/>
                            <w:bottom w:val="none" w:sz="0" w:space="0" w:color="auto"/>
                            <w:right w:val="none" w:sz="0" w:space="0" w:color="auto"/>
                          </w:divBdr>
                          <w:divsChild>
                            <w:div w:id="15199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9421627">
      <w:bodyDiv w:val="1"/>
      <w:marLeft w:val="0"/>
      <w:marRight w:val="0"/>
      <w:marTop w:val="0"/>
      <w:marBottom w:val="0"/>
      <w:divBdr>
        <w:top w:val="none" w:sz="0" w:space="0" w:color="auto"/>
        <w:left w:val="none" w:sz="0" w:space="0" w:color="auto"/>
        <w:bottom w:val="none" w:sz="0" w:space="0" w:color="auto"/>
        <w:right w:val="none" w:sz="0" w:space="0" w:color="auto"/>
      </w:divBdr>
    </w:div>
    <w:div w:id="759646186">
      <w:bodyDiv w:val="1"/>
      <w:marLeft w:val="0"/>
      <w:marRight w:val="0"/>
      <w:marTop w:val="0"/>
      <w:marBottom w:val="0"/>
      <w:divBdr>
        <w:top w:val="none" w:sz="0" w:space="0" w:color="auto"/>
        <w:left w:val="none" w:sz="0" w:space="0" w:color="auto"/>
        <w:bottom w:val="none" w:sz="0" w:space="0" w:color="auto"/>
        <w:right w:val="none" w:sz="0" w:space="0" w:color="auto"/>
      </w:divBdr>
    </w:div>
    <w:div w:id="831995401">
      <w:bodyDiv w:val="1"/>
      <w:marLeft w:val="0"/>
      <w:marRight w:val="0"/>
      <w:marTop w:val="0"/>
      <w:marBottom w:val="0"/>
      <w:divBdr>
        <w:top w:val="none" w:sz="0" w:space="0" w:color="auto"/>
        <w:left w:val="none" w:sz="0" w:space="0" w:color="auto"/>
        <w:bottom w:val="none" w:sz="0" w:space="0" w:color="auto"/>
        <w:right w:val="none" w:sz="0" w:space="0" w:color="auto"/>
      </w:divBdr>
    </w:div>
    <w:div w:id="1945576287">
      <w:bodyDiv w:val="1"/>
      <w:marLeft w:val="0"/>
      <w:marRight w:val="0"/>
      <w:marTop w:val="0"/>
      <w:marBottom w:val="0"/>
      <w:divBdr>
        <w:top w:val="none" w:sz="0" w:space="0" w:color="auto"/>
        <w:left w:val="none" w:sz="0" w:space="0" w:color="auto"/>
        <w:bottom w:val="none" w:sz="0" w:space="0" w:color="auto"/>
        <w:right w:val="none" w:sz="0" w:space="0" w:color="auto"/>
      </w:divBdr>
    </w:div>
    <w:div w:id="2085570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D00FE1C956BA45BF0DCD7E4E5F6184" ma:contentTypeVersion="0" ma:contentTypeDescription="Create a new document." ma:contentTypeScope="" ma:versionID="e28042f44dbb528eb8800456998bbc24">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362BCB-F48B-41C0-B6E9-3A9E794E40A8}">
  <ds:schemaRefs>
    <ds:schemaRef ds:uri="http://schemas.microsoft.com/sharepoint/v3/contenttype/forms"/>
  </ds:schemaRefs>
</ds:datastoreItem>
</file>

<file path=customXml/itemProps2.xml><?xml version="1.0" encoding="utf-8"?>
<ds:datastoreItem xmlns:ds="http://schemas.openxmlformats.org/officeDocument/2006/customXml" ds:itemID="{808C2DF6-40D1-4423-8226-7E163B4C54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AE2EA12-295E-4B70-B5C9-A64BC04F712F}">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www.w3.org/XML/1998/namespace"/>
    <ds:schemaRef ds:uri="http://purl.org/dc/dcmitype/"/>
  </ds:schemaRefs>
</ds:datastoreItem>
</file>

<file path=customXml/itemProps4.xml><?xml version="1.0" encoding="utf-8"?>
<ds:datastoreItem xmlns:ds="http://schemas.openxmlformats.org/officeDocument/2006/customXml" ds:itemID="{042447F9-0411-477E-A8EE-D3FC3DB82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C26A7BA7</Template>
  <TotalTime>30</TotalTime>
  <Pages>20</Pages>
  <Words>6695</Words>
  <Characters>36825</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Algemene Aanwijzingen</vt:lpstr>
    </vt:vector>
  </TitlesOfParts>
  <Company>Ministerie van Buitenlandse Zaken</Company>
  <LinksUpToDate>false</LinksUpToDate>
  <CharactersWithSpaces>43434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Algemene Aanwijzingen</dc:title>
  <dc:subject/>
  <dc:creator>Han Huiskamp</dc:creator>
  <cp:keywords/>
  <dc:description/>
  <cp:lastModifiedBy>Hengelaar, Dieke</cp:lastModifiedBy>
  <cp:revision>7</cp:revision>
  <cp:lastPrinted>2017-04-26T14:20:00Z</cp:lastPrinted>
  <dcterms:created xsi:type="dcterms:W3CDTF">2017-08-18T13:52:00Z</dcterms:created>
  <dcterms:modified xsi:type="dcterms:W3CDTF">2017-08-25T12:20:00Z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_DATE">
    <vt:lpwstr>Datum</vt:lpwstr>
  </property>
  <property fmtid="{D5CDD505-2E9C-101B-9397-08002B2CF9AE}" pid="3" name="L_PLACE">
    <vt:lpwstr>Plaats</vt:lpwstr>
  </property>
  <property fmtid="{D5CDD505-2E9C-101B-9397-08002B2CF9AE}" pid="4" name="SIG_DIR">
    <vt:lpwstr>Directie Verenigde Naties en Internationale Financiële Instellingen</vt:lpwstr>
  </property>
  <property fmtid="{D5CDD505-2E9C-101B-9397-08002B2CF9AE}" pid="5" name="SIG_DEP">
    <vt:lpwstr>Sociaal Economische VN Zaken</vt:lpwstr>
  </property>
  <property fmtid="{D5CDD505-2E9C-101B-9397-08002B2CF9AE}" pid="6" name="SIG_PHONE">
    <vt:lpwstr>+31 (0)70- 3484194</vt:lpwstr>
  </property>
  <property fmtid="{D5CDD505-2E9C-101B-9397-08002B2CF9AE}" pid="7" name="L_AUTHOR">
    <vt:lpwstr>Redacteur(en):</vt:lpwstr>
  </property>
  <property fmtid="{D5CDD505-2E9C-101B-9397-08002B2CF9AE}" pid="8" name="L_CONTACT">
    <vt:lpwstr>Opgesteld door</vt:lpwstr>
  </property>
  <property fmtid="{D5CDD505-2E9C-101B-9397-08002B2CF9AE}" pid="9" name="L_TOC">
    <vt:lpwstr>Inhoudsopgave</vt:lpwstr>
  </property>
  <property fmtid="{D5CDD505-2E9C-101B-9397-08002B2CF9AE}" pid="10" name="L_PAGE">
    <vt:lpwstr>Pagina</vt:lpwstr>
  </property>
  <property fmtid="{D5CDD505-2E9C-101B-9397-08002B2CF9AE}" pid="11" name="L_PAGEOF">
    <vt:lpwstr>van</vt:lpwstr>
  </property>
  <property fmtid="{D5CDD505-2E9C-101B-9397-08002B2CF9AE}" pid="12" name="L_ENCLOSURES">
    <vt:lpwstr>Bijlage(n)</vt:lpwstr>
  </property>
  <property fmtid="{D5CDD505-2E9C-101B-9397-08002B2CF9AE}" pid="13" name="L_CITY">
    <vt:lpwstr>Plaats</vt:lpwstr>
  </property>
  <property fmtid="{D5CDD505-2E9C-101B-9397-08002B2CF9AE}" pid="14" name="BZ_Language">
    <vt:lpwstr>Dutch</vt:lpwstr>
  </property>
  <property fmtid="{D5CDD505-2E9C-101B-9397-08002B2CF9AE}" pid="15" name="SIG_NAME">
    <vt:lpwstr>Han Huiskamp</vt:lpwstr>
  </property>
  <property fmtid="{D5CDD505-2E9C-101B-9397-08002B2CF9AE}" pid="16" name="SIG_FUNCTION">
    <vt:lpwstr>Beleidsmedewerker</vt:lpwstr>
  </property>
  <property fmtid="{D5CDD505-2E9C-101B-9397-08002B2CF9AE}" pid="17" name="SIG_SENDER">
    <vt:lpwstr>Han Huiskamp</vt:lpwstr>
  </property>
  <property fmtid="{D5CDD505-2E9C-101B-9397-08002B2CF9AE}" pid="18" name="SIG_CdP">
    <vt:lpwstr>unknown CdP</vt:lpwstr>
  </property>
  <property fmtid="{D5CDD505-2E9C-101B-9397-08002B2CF9AE}" pid="19" name="ContentTypeId">
    <vt:lpwstr>0x01010088D00FE1C956BA45BF0DCD7E4E5F6184</vt:lpwstr>
  </property>
</Properties>
</file>